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E7" w:rsidRDefault="007F48D3">
      <w:pPr>
        <w:spacing w:line="600" w:lineRule="exact"/>
        <w:jc w:val="center"/>
        <w:rPr>
          <w:rFonts w:ascii="方正小标宋简体" w:eastAsia="方正小标宋简体" w:hAnsi="黑体" w:cs="黑体"/>
          <w:bCs/>
          <w:color w:val="000000"/>
          <w:sz w:val="44"/>
          <w:szCs w:val="36"/>
        </w:rPr>
      </w:pPr>
      <w:r>
        <w:rPr>
          <w:rFonts w:ascii="方正小标宋简体" w:eastAsia="方正小标宋简体" w:hAnsi="黑体" w:cs="黑体" w:hint="eastAsia"/>
          <w:bCs/>
          <w:color w:val="000000"/>
          <w:sz w:val="44"/>
          <w:szCs w:val="36"/>
        </w:rPr>
        <w:t>团体标准《供港包心芥菜》（征求意见稿）</w:t>
      </w:r>
    </w:p>
    <w:p w:rsidR="00B523E7" w:rsidRDefault="007F48D3">
      <w:pPr>
        <w:spacing w:line="600" w:lineRule="exact"/>
        <w:jc w:val="center"/>
        <w:rPr>
          <w:rFonts w:ascii="方正小标宋简体" w:eastAsia="方正小标宋简体" w:hAnsi="黑体" w:cs="黑体"/>
          <w:bCs/>
          <w:color w:val="000000"/>
          <w:sz w:val="44"/>
          <w:szCs w:val="36"/>
        </w:rPr>
      </w:pPr>
      <w:r>
        <w:rPr>
          <w:rFonts w:ascii="方正小标宋简体" w:eastAsia="方正小标宋简体" w:hAnsi="黑体" w:cs="黑体" w:hint="eastAsia"/>
          <w:bCs/>
          <w:color w:val="000000"/>
          <w:sz w:val="44"/>
          <w:szCs w:val="36"/>
        </w:rPr>
        <w:t>编制说明</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根据《关于下达2022</w:t>
      </w:r>
      <w:r w:rsidRPr="008E078F">
        <w:rPr>
          <w:rFonts w:ascii="仿宋_GB2312" w:eastAsia="仿宋_GB2312" w:hAnsi="宋体" w:hint="eastAsia"/>
          <w:sz w:val="32"/>
          <w:szCs w:val="28"/>
          <w:lang w:val="zh-CN"/>
        </w:rPr>
        <w:t>年第</w:t>
      </w:r>
      <w:r w:rsidR="008E078F" w:rsidRPr="008E078F">
        <w:rPr>
          <w:rFonts w:ascii="仿宋_GB2312" w:eastAsia="仿宋_GB2312" w:hAnsi="宋体" w:hint="eastAsia"/>
          <w:sz w:val="32"/>
          <w:szCs w:val="28"/>
          <w:lang w:val="zh-CN"/>
        </w:rPr>
        <w:t>三</w:t>
      </w:r>
      <w:r w:rsidRPr="008E078F">
        <w:rPr>
          <w:rFonts w:ascii="仿宋_GB2312" w:eastAsia="仿宋_GB2312" w:hAnsi="宋体" w:hint="eastAsia"/>
          <w:sz w:val="32"/>
          <w:szCs w:val="28"/>
          <w:lang w:val="zh-CN"/>
        </w:rPr>
        <w:t>批团体标准制修订项目计划的通知》（桂标协﹝2022﹞</w:t>
      </w:r>
      <w:r w:rsidR="008E078F" w:rsidRPr="008E078F">
        <w:rPr>
          <w:rFonts w:ascii="仿宋_GB2312" w:eastAsia="仿宋_GB2312" w:hAnsi="宋体" w:hint="eastAsia"/>
          <w:sz w:val="32"/>
          <w:szCs w:val="28"/>
          <w:lang w:val="zh-CN"/>
        </w:rPr>
        <w:t>17</w:t>
      </w:r>
      <w:r w:rsidRPr="008E078F">
        <w:rPr>
          <w:rFonts w:ascii="仿宋_GB2312" w:eastAsia="仿宋_GB2312" w:hAnsi="宋体" w:hint="eastAsia"/>
          <w:sz w:val="32"/>
          <w:szCs w:val="28"/>
          <w:lang w:val="zh-CN"/>
        </w:rPr>
        <w:t>号）文件精神，由广西贺州市农业投资集团有限公司和贺州市市场监督管理局提出，贺州市检验检测中心、广西贺州市农业科学院、贺州市正地发展有限公司共同起草的团体标准《供港包心芥菜》(项目编号：</w:t>
      </w:r>
      <w:r w:rsidR="008E078F" w:rsidRPr="008E078F">
        <w:rPr>
          <w:rFonts w:ascii="仿宋_GB2312" w:eastAsia="仿宋_GB2312" w:hAnsi="宋体" w:hint="eastAsia"/>
          <w:sz w:val="32"/>
          <w:szCs w:val="28"/>
          <w:lang w:val="zh-CN"/>
        </w:rPr>
        <w:t>2022-030</w:t>
      </w:r>
      <w:r w:rsidR="007B2351">
        <w:rPr>
          <w:rFonts w:ascii="仿宋_GB2312" w:eastAsia="仿宋_GB2312" w:hAnsi="宋体" w:hint="eastAsia"/>
          <w:sz w:val="32"/>
          <w:szCs w:val="28"/>
          <w:lang w:val="zh-CN"/>
        </w:rPr>
        <w:t>3</w:t>
      </w:r>
      <w:r w:rsidRPr="008E078F">
        <w:rPr>
          <w:rFonts w:ascii="仿宋_GB2312" w:eastAsia="仿宋_GB2312" w:hAnsi="宋体" w:hint="eastAsia"/>
          <w:sz w:val="32"/>
          <w:szCs w:val="28"/>
          <w:lang w:val="zh-CN"/>
        </w:rPr>
        <w:t>)</w:t>
      </w:r>
      <w:r>
        <w:rPr>
          <w:rFonts w:ascii="仿宋_GB2312" w:eastAsia="仿宋_GB2312" w:hAnsi="宋体" w:hint="eastAsia"/>
          <w:sz w:val="32"/>
          <w:szCs w:val="28"/>
          <w:lang w:val="zh-CN"/>
        </w:rPr>
        <w:t>。</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贺州市农业农村局关于2021年贺州市蔬菜生产的指导意见》文件精神，指出为加快农业东融，推进全市蔬菜产业高质量发展，完成全年增长5%责任目标，促进农业经济稳增长，实现稳产保供，助力乡村振兴。按照《自治区农业农村厅办公室关于2021年广西蔬菜生产的指导意见》（桂农厅办发〔2021〕58号）的文件要求，充分发挥我市资源禀赋、产业基础和区位优势，围绕把贺州打造成面向粤港澳大湾区市场的重要蔬菜生产基地为目标，完善基础设施，强化科技支撑，加快推进蔬菜产业绿色高质量发展，助力乡村振兴。各级农业农村部门要进一步提高对建设粤港澳大湾区“菜篮子”蔬菜生产基地和“圳品”基地重要性的认识，积极开拓市场，加快推动我市蔬菜产品走进大湾区。各县（区）要密切关注粤港澳大湾区“菜篮子”微信公众号、广州市农业农村局官方网站，主动对接大湾区“菜篮子”建设工作专责小组办公室和广西优质农产品“圳品”认证工作专班办公室，</w:t>
      </w:r>
      <w:r>
        <w:rPr>
          <w:rFonts w:ascii="仿宋_GB2312" w:eastAsia="仿宋_GB2312" w:hAnsi="宋体" w:hint="eastAsia"/>
          <w:sz w:val="32"/>
          <w:szCs w:val="28"/>
          <w:lang w:val="zh-CN"/>
        </w:rPr>
        <w:lastRenderedPageBreak/>
        <w:t>积极发动、组织我市蔬菜产品生产企业广泛参与粤港澳大湾区“菜篮子”生产基地和“圳品”基地认定工作。</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贺州市有“粤港澳后花园”和“粤港澳菜篮子”之称，当地的农作物富含硒元素。该市以传统蔬菜产业为依托，以建设特色、高效、生态、供港澳蔬菜品牌农业为重点，大力推动蔬菜产业升级。目前全市蔬菜种植面积100万亩以上，总产量170万吨，约120万吨运往粤港澳地区。贺州市建立了市、县、乡、村四级农产品质量安全监管体系、追溯系统和农业投入品台账制度，61个乡镇均建立了蔬菜农药残留流动监测站，实现了从“田头到餐桌”的全程监控。目前，贺州市获得生态有机认证的企业共57家，认证面积21.55万亩，认证产量10.58万吨；有8个产品获得农产品地理标志登记；通过广西富硒协会认定的富硒农产品品牌有13个。进一步加大了农产品力度，巩固了“国家出口食品农产品质量安全示范区”全覆盖唯一地级市成果。贺州农业生产条件优越，蔬菜品种丰富，素有“百年菜乡”的美誉。贺州市充分发挥资源和区位优势，以现代农业发展理念，走产业化、标准化、品质化、品牌化发展之路，建成蔬菜、水果、茶叶、优质粮、食用菌、中药材等一批特色农业优势产业，打造直供香港的高品质蔬菜基地，每天为香港提供绿色“放心菜”。</w:t>
      </w:r>
    </w:p>
    <w:p w:rsidR="00B523E7" w:rsidRDefault="007F48D3">
      <w:pPr>
        <w:spacing w:line="560" w:lineRule="exact"/>
        <w:ind w:firstLineChars="200" w:firstLine="640"/>
        <w:rPr>
          <w:rFonts w:ascii="仿宋_GB2312" w:eastAsia="仿宋_GB2312" w:hAnsi="宋体"/>
          <w:sz w:val="32"/>
          <w:szCs w:val="28"/>
          <w:highlight w:val="yellow"/>
          <w:lang w:val="zh-CN"/>
        </w:rPr>
      </w:pPr>
      <w:r>
        <w:rPr>
          <w:rFonts w:ascii="仿宋_GB2312" w:eastAsia="仿宋_GB2312" w:hAnsi="宋体" w:hint="eastAsia"/>
          <w:sz w:val="32"/>
          <w:szCs w:val="28"/>
          <w:lang w:val="zh-CN"/>
        </w:rPr>
        <w:t>包心芥菜主产于我国华南地区，是广西、福建、广东、台湾地的地方名特蔬菜种类，代表品种有潮州包心芥、广东鸡心蕾等品种，包心芥菜为喜冷凉不耐寒性蔬菜植物，在华南地区一般作秋播栽培，产品可在冬春季节上市，品质优良、风味独特。包心芥菜营养丰富，每百克含蛋白质0.9～2.8 g，碳水化合物2.9～</w:t>
      </w:r>
      <w:r>
        <w:rPr>
          <w:rFonts w:ascii="仿宋_GB2312" w:eastAsia="仿宋_GB2312" w:hAnsi="宋体" w:hint="eastAsia"/>
          <w:sz w:val="32"/>
          <w:szCs w:val="28"/>
          <w:lang w:val="zh-CN"/>
        </w:rPr>
        <w:lastRenderedPageBreak/>
        <w:t>4.2 g，粗纤维0.4～1 g，维生素C 83～94 mg，钙、铁含量特别高，并具有抗癌、清热、利尿、养胃、解毒，降压、降脂等功能。贺州的包心芥菜，选用的为高产、抗病、耐抽苔、结球坚实、适合港澳市场需求的包心芥菜品种，目前应用的主要品种为大坪埔大肉包心芥和潮汕大肉包心芥，市场反应是最好的。</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供港蔬菜是这一两年才开始在内地市场销售，市场上的供港蔬菜深受消费者热捧，价格一路攀升，在利益的驱使下，所以一些商家以次充好，或用非供港蔬菜基地生产的蔬菜来冒名顶替供港蔬菜，给消费者带来极大的困扰。由于目前国家对这方面还未制定相关标准及法律法规，因此在制定统一标识、规范管理方面还有很多细节需要完善和细化。正因为职能部门权责模糊，没有相关法规去规范，也催生商家自己随意贴标签，甚至伪造标识的现象。目前与供港包心芥菜产品有关的国家标准、行业标准、地方标准和团体标准有：NY/T 1324-2015《绿色食品  芥菜类蔬菜》、DB45/T 268-2005《包心肉芥菜》、NY/T 706-2003《加工用芥菜》、NY/T 743-2020《绿色食品 绿叶类蔬菜》、DB44/T 886-2011《地理标志产品  水东芥菜》等。以上标准对芥菜类蔬菜、加工芥菜的外观质量和农残限量进行要求，但均未涉及包心芥菜营养指标如蛋白质、可溶性糖、维生素C等，无法充分体现贺州包心芥菜特色特点，不利于产品的推广销售。</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制定团体标准《供港包心芥菜》，以标准为抓手，统一规范供港包心芥菜的质量要求、检验方法、检验规则、标志、标签、包装、运输、贮存的要求，可为供港包心芥菜的生产提供技术指导，从源头上更好保障供港包心芥菜的质量。制定团体标准</w:t>
      </w:r>
      <w:r>
        <w:rPr>
          <w:rFonts w:ascii="仿宋_GB2312" w:eastAsia="仿宋_GB2312" w:hAnsi="宋体" w:hint="eastAsia"/>
          <w:sz w:val="32"/>
          <w:szCs w:val="28"/>
          <w:lang w:val="zh-CN"/>
        </w:rPr>
        <w:lastRenderedPageBreak/>
        <w:t>标准，对确保贺州供港蔬菜产业往规模化、规范化方向发展，为广西农业经济做贡献；对贯彻落实国家乡村振兴战略，助力精准扶贫，促进供港蔬菜产业结构优化升级，打造供港蔬菜地方品牌促使农户增产增效具有重要意义。</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B523E7" w:rsidRDefault="007F48D3" w:rsidP="00832F41">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供港包心芥菜》项目任务下达后，成立了标准编制工作组，制定了标准编写方案，明确任务职责，确定工作技术路线，开展标准研制工作，具体标准编制工作由贺州市检验检测中心、广西贺州市农业科学院、贺州市正地发展有限公司相关人员配合。</w:t>
      </w:r>
    </w:p>
    <w:p w:rsidR="00B523E7" w:rsidRDefault="007F48D3" w:rsidP="00832F41">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目前国内关于包心芥菜的相关国家标准、行业标准、地方标准具体列出如下： </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NY/T 1324-2015《绿色食品  芥菜类蔬菜》</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DB45/T 268-2005《包心肉芥菜》</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NY/T 706-2003《加工用芥菜》</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NY/T 743-2020《绿色食品 绿叶类蔬菜》</w:t>
      </w:r>
    </w:p>
    <w:p w:rsidR="00B523E7" w:rsidRDefault="007F48D3">
      <w:pPr>
        <w:spacing w:line="560" w:lineRule="exact"/>
        <w:ind w:firstLineChars="200" w:firstLine="640"/>
        <w:rPr>
          <w:rFonts w:ascii="仿宋_GB2312" w:eastAsia="仿宋_GB2312" w:hAnsi="宋体"/>
          <w:sz w:val="32"/>
          <w:szCs w:val="28"/>
          <w:highlight w:val="yellow"/>
          <w:lang w:val="zh-CN"/>
        </w:rPr>
      </w:pPr>
      <w:r>
        <w:rPr>
          <w:rFonts w:ascii="仿宋_GB2312" w:eastAsia="仿宋_GB2312" w:hAnsi="宋体" w:hint="eastAsia"/>
          <w:sz w:val="32"/>
          <w:szCs w:val="28"/>
          <w:lang w:val="zh-CN"/>
        </w:rPr>
        <w:t>DB44/T 886-2011《地理标志产品  水东芥菜》</w:t>
      </w:r>
    </w:p>
    <w:p w:rsidR="00B523E7" w:rsidRDefault="007F48D3" w:rsidP="00832F41">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T/GDNB 6.1—2020《粤港澳大湾区“菜篮子”平台产品质量安全指标体系  蔬菜》</w:t>
      </w:r>
    </w:p>
    <w:p w:rsidR="00B523E7" w:rsidRDefault="007F48D3" w:rsidP="00832F41">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sz w:val="32"/>
          <w:szCs w:val="28"/>
          <w:lang w:val="zh-CN"/>
        </w:rPr>
        <w:t>SN/T 4529.2-2016</w:t>
      </w:r>
      <w:r>
        <w:rPr>
          <w:rFonts w:ascii="仿宋_GB2312" w:eastAsia="仿宋_GB2312" w:hAnsi="宋体" w:hint="eastAsia"/>
          <w:sz w:val="32"/>
          <w:szCs w:val="28"/>
          <w:lang w:val="zh-CN"/>
        </w:rPr>
        <w:t>《</w:t>
      </w:r>
      <w:r>
        <w:rPr>
          <w:rFonts w:ascii="仿宋_GB2312" w:eastAsia="仿宋_GB2312" w:hAnsi="宋体"/>
          <w:sz w:val="32"/>
          <w:szCs w:val="28"/>
          <w:lang w:val="zh-CN"/>
        </w:rPr>
        <w:t xml:space="preserve">供港食品全程RFID溯源规程 </w:t>
      </w:r>
      <w:r>
        <w:rPr>
          <w:rFonts w:ascii="仿宋_GB2312" w:eastAsia="仿宋_GB2312" w:hAnsi="宋体" w:hint="eastAsia"/>
          <w:sz w:val="32"/>
          <w:szCs w:val="28"/>
          <w:lang w:val="zh-CN"/>
        </w:rPr>
        <w:t xml:space="preserve"> </w:t>
      </w:r>
      <w:r>
        <w:rPr>
          <w:rFonts w:ascii="仿宋_GB2312" w:eastAsia="仿宋_GB2312" w:hAnsi="宋体"/>
          <w:sz w:val="32"/>
          <w:szCs w:val="28"/>
          <w:lang w:val="zh-CN"/>
        </w:rPr>
        <w:t>第2部</w:t>
      </w:r>
      <w:r>
        <w:rPr>
          <w:rFonts w:ascii="仿宋_GB2312" w:eastAsia="仿宋_GB2312" w:hAnsi="宋体"/>
          <w:sz w:val="32"/>
          <w:szCs w:val="28"/>
          <w:lang w:val="zh-CN"/>
        </w:rPr>
        <w:lastRenderedPageBreak/>
        <w:t>分：蔬菜</w:t>
      </w:r>
      <w:r>
        <w:rPr>
          <w:rFonts w:ascii="仿宋_GB2312" w:eastAsia="仿宋_GB2312" w:hAnsi="宋体" w:hint="eastAsia"/>
          <w:sz w:val="32"/>
          <w:szCs w:val="28"/>
          <w:lang w:val="zh-CN"/>
        </w:rPr>
        <w:t>》</w:t>
      </w:r>
    </w:p>
    <w:p w:rsidR="00B523E7" w:rsidRDefault="007F48D3" w:rsidP="00832F41">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感官要求、理化指标、安全卫生指标、检验方法、检验规则、标志、标签、包装、贮存和运输。</w:t>
      </w:r>
    </w:p>
    <w:p w:rsidR="00B523E7" w:rsidRDefault="007F48D3" w:rsidP="00832F41">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（四）形成文本草案、征求意见稿</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9月-2022年1月，标准起草工作小组进行了广泛实地调研工作，查阅了大量的国内外文献资料，对供港包心芥菜产品质量进行系统总结。经编制组反复讨论，形成了标准的基本构架，对主要内容进行了讨论并对项目的工作进行了部署和安排。在前期工作的基础之上，通过理清逻辑脉络，整合已有的参考资料中有关包心芥菜产品质量的信息，并结合食品安全国家标准、供港蔬菜食品安全要求的基础上，按照简化、统一等原则编制完成团体标准《供港包心芥菜》（草案）。</w:t>
      </w:r>
    </w:p>
    <w:p w:rsidR="00B523E7" w:rsidRDefault="007F48D3">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2022年2月，编制组再次深入贺州包心芥菜种植区进行分组调研，并向供港包心芥菜生产相关科研单位、企业征求意见。当前仅对包心芥菜感官指标进行限定，未对包心芥菜产品的成熟度、蛋白质、可溶性糖、钙等特征指标做出规定，无法充分体现贺州包心芥菜特色特点，不利于产品的推广销售。项目编制组对多批次供港包心芥菜产品进行检验，通过总结分析检测结果，确立了供港包心芥菜的产品要求。根据反馈意见及检验结果，标准</w:t>
      </w:r>
      <w:r>
        <w:rPr>
          <w:rFonts w:ascii="仿宋_GB2312" w:eastAsia="仿宋_GB2312" w:hAnsi="宋体" w:hint="eastAsia"/>
          <w:sz w:val="32"/>
          <w:szCs w:val="28"/>
          <w:lang w:val="zh-CN"/>
        </w:rPr>
        <w:lastRenderedPageBreak/>
        <w:t>编制工作组多次召开会议，对标准草案进行反复修改和研究讨论，形成团体标准《供港包心芥菜》（征求意见稿）和（征求意见稿）编制说明。</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四、标准制定原则</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供港包心芥菜产品质量特点，在现有国家、行业标准相关供港蔬菜质量要求的基础上，结合多年实践而总结起草的，符合当前供港包心芥菜生产的要求，有利于行业的长远发展，具有较强的实用性和可操作性。</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本文件编写过程中注意了与包心芥菜产品质量相关法律法规的协调问题，在内容上与现行法律法规、标准协调一致。</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B523E7" w:rsidRDefault="007F48D3" w:rsidP="00832F41">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本文件兼顾当前供港包心芥菜产品质量的同时，还考虑到推动广西特色产品向品牌化、品质化、规模化发展的趋势和需求，在标准中体现了个别特色性、前瞻性和先进性条款，作为对包心芥菜产品质量的指导。</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团体标准《供港包心芥菜》主要内容包括术语和定义、感官要求、理化指标、安全卫生指标、检验方法、检验规则、标志、标签、包装、贮存和运输。</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B523E7" w:rsidRDefault="007F48D3">
      <w:pPr>
        <w:pStyle w:val="a"/>
        <w:numPr>
          <w:ilvl w:val="0"/>
          <w:numId w:val="0"/>
        </w:numPr>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供港包心芥菜：在取得供港澳蔬菜（叶菜类）检验检疫备案基地内生产，叶片宽阔肥厚，叶柄呈宽扁型，成株后由心叶相互叠抱，包卷成结球型的符合香港市场安全要求的芥菜。</w:t>
      </w:r>
    </w:p>
    <w:p w:rsidR="00B523E7" w:rsidRDefault="007F48D3" w:rsidP="00832F41">
      <w:pPr>
        <w:ind w:firstLineChars="200" w:firstLine="643"/>
        <w:rPr>
          <w:rFonts w:ascii="仿宋_GB2312" w:eastAsia="仿宋_GB2312" w:hAnsi="宋体"/>
          <w:sz w:val="32"/>
          <w:szCs w:val="28"/>
          <w:lang w:val="zh-CN"/>
        </w:rPr>
      </w:pPr>
      <w:r w:rsidRPr="00832F41">
        <w:rPr>
          <w:rFonts w:ascii="仿宋_GB2312" w:eastAsia="仿宋_GB2312" w:hAnsi="宋体" w:hint="eastAsia"/>
          <w:b/>
          <w:sz w:val="32"/>
          <w:szCs w:val="28"/>
          <w:lang w:val="zh-CN"/>
        </w:rPr>
        <w:t>供港蔬菜种植基地及种植的要求</w:t>
      </w:r>
      <w:r>
        <w:rPr>
          <w:rFonts w:ascii="仿宋_GB2312" w:eastAsia="仿宋_GB2312" w:hAnsi="宋体" w:hint="eastAsia"/>
          <w:sz w:val="32"/>
          <w:szCs w:val="28"/>
          <w:lang w:val="zh-CN"/>
        </w:rPr>
        <w:t>非常严格，国家市场监管总局2018年重新修订了《供港澳蔬菜检验检疫管理办法》 (下称第120号令)第五章第三十一条明确规定：“种植基地所在地检验检疫机构对备案的种植基地进行监督管理，生产加工所在地检验检疫机构对备案的生产加工企业进行监督管理。检验检疫机构应当建立备案的种植基地和生产加工企业监督管理档案。监督管理包括日常监督检查、年度审核等形式。”第三十七条规定“1年内未种植供港蔬菜的，检验检疫机构取消备案资格。”</w:t>
      </w:r>
    </w:p>
    <w:p w:rsidR="00B523E7" w:rsidRDefault="00832F41" w:rsidP="00832F41">
      <w:pPr>
        <w:spacing w:line="560" w:lineRule="exact"/>
        <w:ind w:firstLineChars="200" w:firstLine="643"/>
        <w:rPr>
          <w:rFonts w:ascii="仿宋_GB2312" w:eastAsia="仿宋_GB2312" w:hAnsi="宋体"/>
          <w:sz w:val="32"/>
          <w:szCs w:val="28"/>
          <w:lang w:val="zh-CN"/>
        </w:rPr>
      </w:pPr>
      <w:r w:rsidRPr="00832F41">
        <w:rPr>
          <w:rFonts w:ascii="仿宋_GB2312" w:eastAsia="仿宋_GB2312" w:hAnsi="宋体" w:hint="eastAsia"/>
          <w:b/>
          <w:sz w:val="32"/>
          <w:szCs w:val="28"/>
          <w:lang w:val="zh-CN"/>
        </w:rPr>
        <w:t>品种选择：</w:t>
      </w:r>
      <w:r w:rsidR="007F48D3">
        <w:rPr>
          <w:rFonts w:ascii="仿宋_GB2312" w:eastAsia="仿宋_GB2312" w:hAnsi="宋体" w:hint="eastAsia"/>
          <w:sz w:val="32"/>
          <w:szCs w:val="28"/>
          <w:lang w:val="zh-CN"/>
        </w:rPr>
        <w:t>贺州市供港蔬菜基地明确选用高产、抗病、耐抽苔、结球坚实、适合香港市场需求的包心芥菜品种，宜选用大坪埔大肉包心芥、潮汕大肉包心芥等。目前应用的主要品种为大坪埔大肉包心芥和潮汕大肉包心芥，市场反应是最好的，所以推荐种植。</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t>（</w:t>
      </w:r>
      <w:r w:rsidR="00832F41">
        <w:rPr>
          <w:rFonts w:ascii="楷体" w:eastAsia="楷体" w:hAnsi="楷体" w:hint="eastAsia"/>
          <w:b/>
          <w:sz w:val="32"/>
          <w:szCs w:val="32"/>
          <w:lang w:val="zh-CN"/>
        </w:rPr>
        <w:t>二</w:t>
      </w:r>
      <w:r>
        <w:rPr>
          <w:rFonts w:ascii="楷体" w:eastAsia="楷体" w:hAnsi="楷体" w:hint="eastAsia"/>
          <w:b/>
          <w:sz w:val="32"/>
          <w:szCs w:val="32"/>
          <w:lang w:val="zh-CN"/>
        </w:rPr>
        <w:t>）感官要求</w:t>
      </w:r>
    </w:p>
    <w:p w:rsidR="00B523E7" w:rsidRDefault="007F48D3">
      <w:pPr>
        <w:pStyle w:val="a6"/>
        <w:numPr>
          <w:ilvl w:val="0"/>
          <w:numId w:val="0"/>
        </w:numPr>
        <w:spacing w:beforeLines="0" w:afterLines="0"/>
        <w:ind w:firstLineChars="200" w:firstLine="640"/>
        <w:jc w:val="both"/>
        <w:rPr>
          <w:rFonts w:ascii="仿宋_GB2312" w:eastAsia="仿宋_GB2312" w:hAnsi="宋体"/>
          <w:kern w:val="2"/>
          <w:sz w:val="32"/>
          <w:szCs w:val="28"/>
          <w:lang w:val="zh-CN"/>
        </w:rPr>
      </w:pPr>
      <w:r>
        <w:rPr>
          <w:rFonts w:ascii="仿宋_GB2312" w:eastAsia="仿宋_GB2312" w:hAnsi="宋体" w:hint="eastAsia"/>
          <w:kern w:val="2"/>
          <w:sz w:val="32"/>
          <w:szCs w:val="28"/>
          <w:lang w:val="zh-CN"/>
        </w:rPr>
        <w:t>感官要求参照NY/T 1324-2015《绿色食品  芥菜类蔬菜》（图1）、DB45/T 268-2005《包心肉芥菜》（图2）、DB44/T 886-2011</w:t>
      </w:r>
      <w:r>
        <w:rPr>
          <w:rFonts w:ascii="仿宋_GB2312" w:eastAsia="仿宋_GB2312" w:hAnsi="宋体" w:hint="eastAsia"/>
          <w:kern w:val="2"/>
          <w:sz w:val="32"/>
          <w:szCs w:val="28"/>
          <w:lang w:val="zh-CN"/>
        </w:rPr>
        <w:lastRenderedPageBreak/>
        <w:t>《地理标志产品  水东芥菜》（图3），并结合贺州主栽包心芥菜品种特色，从形态、外观、口感、单棵重量四个方面进行</w:t>
      </w:r>
      <w:r w:rsidR="00832F41">
        <w:rPr>
          <w:rFonts w:ascii="仿宋_GB2312" w:eastAsia="仿宋_GB2312" w:hAnsi="宋体" w:hint="eastAsia"/>
          <w:kern w:val="2"/>
          <w:sz w:val="32"/>
          <w:szCs w:val="28"/>
          <w:lang w:val="zh-CN"/>
        </w:rPr>
        <w:t>确定</w:t>
      </w:r>
      <w:r>
        <w:rPr>
          <w:rFonts w:ascii="仿宋_GB2312" w:eastAsia="仿宋_GB2312" w:hAnsi="宋体" w:hint="eastAsia"/>
          <w:kern w:val="2"/>
          <w:sz w:val="32"/>
          <w:szCs w:val="28"/>
          <w:lang w:val="zh-CN"/>
        </w:rPr>
        <w:t>（表1）。通过比较不同批次供港包心芥菜单棵重量（表2）可得，供港包心芥菜单棵重量均在900g以上，最高达1496.34g，在该范围内，包心芥菜均能保持良好的商品性、脆嫩度，结合市场调研，最终</w:t>
      </w:r>
      <w:r w:rsidR="00832F41">
        <w:rPr>
          <w:rFonts w:ascii="仿宋_GB2312" w:eastAsia="仿宋_GB2312" w:hAnsi="宋体" w:hint="eastAsia"/>
          <w:kern w:val="2"/>
          <w:sz w:val="32"/>
          <w:szCs w:val="28"/>
          <w:lang w:val="zh-CN"/>
        </w:rPr>
        <w:t>确定</w:t>
      </w:r>
      <w:r>
        <w:rPr>
          <w:rFonts w:ascii="仿宋_GB2312" w:eastAsia="仿宋_GB2312" w:hAnsi="宋体" w:hint="eastAsia"/>
          <w:kern w:val="2"/>
          <w:sz w:val="32"/>
          <w:szCs w:val="28"/>
          <w:lang w:val="zh-CN"/>
        </w:rPr>
        <w:t>包心芥菜单棵重量为900 g～1 600 g。</w:t>
      </w:r>
    </w:p>
    <w:p w:rsidR="00B523E7" w:rsidRDefault="007F48D3">
      <w:pPr>
        <w:pStyle w:val="a6"/>
        <w:numPr>
          <w:ilvl w:val="0"/>
          <w:numId w:val="0"/>
        </w:numPr>
        <w:spacing w:before="156" w:after="156"/>
        <w:rPr>
          <w:rFonts w:ascii="仿宋_GB2312" w:eastAsia="仿宋_GB2312"/>
          <w:b/>
          <w:sz w:val="28"/>
        </w:rPr>
      </w:pPr>
      <w:r>
        <w:rPr>
          <w:rFonts w:ascii="仿宋_GB2312" w:eastAsia="仿宋_GB2312" w:hint="eastAsia"/>
          <w:b/>
          <w:sz w:val="28"/>
        </w:rPr>
        <w:t>表1</w:t>
      </w:r>
      <w:r w:rsidR="00832F41">
        <w:rPr>
          <w:rFonts w:ascii="仿宋_GB2312" w:eastAsia="仿宋_GB2312" w:hint="eastAsia"/>
          <w:b/>
          <w:sz w:val="28"/>
        </w:rPr>
        <w:t>感官要求</w:t>
      </w:r>
    </w:p>
    <w:tbl>
      <w:tblPr>
        <w:tblStyle w:val="a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15"/>
        <w:gridCol w:w="7063"/>
      </w:tblGrid>
      <w:tr w:rsidR="00B523E7">
        <w:trPr>
          <w:trHeight w:hRule="exact" w:val="397"/>
          <w:tblHeader/>
          <w:jc w:val="center"/>
        </w:trPr>
        <w:tc>
          <w:tcPr>
            <w:tcW w:w="1915" w:type="dxa"/>
            <w:tcBorders>
              <w:top w:val="single" w:sz="8" w:space="0" w:color="auto"/>
              <w:bottom w:val="single" w:sz="8" w:space="0" w:color="auto"/>
            </w:tcBorders>
            <w:shd w:val="clear" w:color="auto" w:fill="auto"/>
            <w:vAlign w:val="center"/>
          </w:tcPr>
          <w:p w:rsidR="00B523E7" w:rsidRDefault="007F48D3">
            <w:pPr>
              <w:pStyle w:val="afd"/>
              <w:rPr>
                <w:rFonts w:ascii="仿宋_GB2312" w:eastAsia="仿宋_GB2312"/>
                <w:sz w:val="21"/>
              </w:rPr>
            </w:pPr>
            <w:r>
              <w:rPr>
                <w:rFonts w:ascii="仿宋_GB2312" w:eastAsia="仿宋_GB2312" w:hint="eastAsia"/>
                <w:sz w:val="21"/>
              </w:rPr>
              <w:t>项目</w:t>
            </w:r>
          </w:p>
        </w:tc>
        <w:tc>
          <w:tcPr>
            <w:tcW w:w="7063" w:type="dxa"/>
            <w:tcBorders>
              <w:top w:val="single" w:sz="8" w:space="0" w:color="auto"/>
              <w:bottom w:val="single" w:sz="8" w:space="0" w:color="auto"/>
            </w:tcBorders>
            <w:shd w:val="clear" w:color="auto" w:fill="auto"/>
            <w:vAlign w:val="center"/>
          </w:tcPr>
          <w:p w:rsidR="00B523E7" w:rsidRDefault="007F48D3">
            <w:pPr>
              <w:pStyle w:val="afd"/>
              <w:rPr>
                <w:rFonts w:ascii="仿宋_GB2312" w:eastAsia="仿宋_GB2312"/>
                <w:sz w:val="21"/>
              </w:rPr>
            </w:pPr>
            <w:r>
              <w:rPr>
                <w:rFonts w:ascii="仿宋_GB2312" w:eastAsia="仿宋_GB2312" w:hint="eastAsia"/>
                <w:sz w:val="21"/>
              </w:rPr>
              <w:t>要求</w:t>
            </w:r>
          </w:p>
        </w:tc>
      </w:tr>
      <w:tr w:rsidR="00B523E7">
        <w:trPr>
          <w:trHeight w:val="567"/>
          <w:jc w:val="center"/>
        </w:trPr>
        <w:tc>
          <w:tcPr>
            <w:tcW w:w="1915"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形态</w:t>
            </w:r>
          </w:p>
        </w:tc>
        <w:tc>
          <w:tcPr>
            <w:tcW w:w="7063"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叶片宽阔肥厚，叶柄呈宽扁型，结球紧密，球形端正，叶片柔嫩无裂痕；叶柄青里透黄</w:t>
            </w:r>
          </w:p>
        </w:tc>
      </w:tr>
      <w:tr w:rsidR="00B523E7">
        <w:trPr>
          <w:trHeight w:val="567"/>
          <w:jc w:val="center"/>
        </w:trPr>
        <w:tc>
          <w:tcPr>
            <w:tcW w:w="1915"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外观</w:t>
            </w:r>
          </w:p>
        </w:tc>
        <w:tc>
          <w:tcPr>
            <w:tcW w:w="7063"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具有该品固有形状，色泽光亮，新鲜清洁，无异常外来水分，无腐烂、畸形，无异味，无明显机械伤、无明显病虫害，同一包装内大小基本一致</w:t>
            </w:r>
          </w:p>
        </w:tc>
      </w:tr>
      <w:tr w:rsidR="00B523E7">
        <w:trPr>
          <w:trHeight w:val="567"/>
          <w:jc w:val="center"/>
        </w:trPr>
        <w:tc>
          <w:tcPr>
            <w:tcW w:w="1915" w:type="dxa"/>
            <w:tcBorders>
              <w:top w:val="single" w:sz="4"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口感</w:t>
            </w:r>
          </w:p>
        </w:tc>
        <w:tc>
          <w:tcPr>
            <w:tcW w:w="7063" w:type="dxa"/>
            <w:tcBorders>
              <w:top w:val="single" w:sz="4"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脆嫩，粗纤维少，味微甘，略带清香</w:t>
            </w:r>
          </w:p>
        </w:tc>
      </w:tr>
      <w:tr w:rsidR="00B523E7">
        <w:trPr>
          <w:trHeight w:val="567"/>
          <w:jc w:val="center"/>
        </w:trPr>
        <w:tc>
          <w:tcPr>
            <w:tcW w:w="1915" w:type="dxa"/>
            <w:tcBorders>
              <w:top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单棵重量</w:t>
            </w:r>
          </w:p>
        </w:tc>
        <w:tc>
          <w:tcPr>
            <w:tcW w:w="7063" w:type="dxa"/>
            <w:tcBorders>
              <w:top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900</w:t>
            </w:r>
            <w:r>
              <w:rPr>
                <w:rFonts w:ascii="仿宋_GB2312" w:eastAsia="仿宋_GB2312" w:hint="eastAsia"/>
                <w:sz w:val="21"/>
                <w:szCs w:val="21"/>
                <w:vertAlign w:val="superscript"/>
              </w:rPr>
              <w:t xml:space="preserve"> </w:t>
            </w:r>
            <w:r>
              <w:rPr>
                <w:rFonts w:ascii="仿宋_GB2312" w:eastAsia="仿宋_GB2312" w:hint="eastAsia"/>
                <w:sz w:val="21"/>
                <w:szCs w:val="21"/>
              </w:rPr>
              <w:t>g</w:t>
            </w:r>
            <w:r>
              <w:rPr>
                <w:rFonts w:ascii="仿宋_GB2312" w:eastAsia="仿宋_GB2312" w:hAnsi="宋体" w:hint="eastAsia"/>
                <w:sz w:val="21"/>
                <w:szCs w:val="21"/>
              </w:rPr>
              <w:t>～1</w:t>
            </w:r>
            <w:r>
              <w:rPr>
                <w:rFonts w:ascii="仿宋_GB2312" w:eastAsia="仿宋_GB2312" w:hAnsi="宋体" w:hint="eastAsia"/>
                <w:sz w:val="21"/>
                <w:szCs w:val="21"/>
                <w:vertAlign w:val="superscript"/>
              </w:rPr>
              <w:t xml:space="preserve"> </w:t>
            </w:r>
            <w:r>
              <w:rPr>
                <w:rFonts w:ascii="仿宋_GB2312" w:eastAsia="仿宋_GB2312" w:hAnsi="宋体" w:hint="eastAsia"/>
                <w:sz w:val="21"/>
                <w:szCs w:val="21"/>
              </w:rPr>
              <w:t>600</w:t>
            </w:r>
            <w:r>
              <w:rPr>
                <w:rFonts w:ascii="仿宋_GB2312" w:eastAsia="仿宋_GB2312" w:hAnsi="宋体" w:hint="eastAsia"/>
                <w:sz w:val="21"/>
                <w:szCs w:val="21"/>
                <w:vertAlign w:val="superscript"/>
              </w:rPr>
              <w:t xml:space="preserve"> </w:t>
            </w:r>
            <w:r>
              <w:rPr>
                <w:rFonts w:ascii="仿宋_GB2312" w:eastAsia="仿宋_GB2312" w:hAnsi="宋体" w:hint="eastAsia"/>
                <w:sz w:val="21"/>
                <w:szCs w:val="21"/>
              </w:rPr>
              <w:t>g</w:t>
            </w:r>
          </w:p>
        </w:tc>
      </w:tr>
    </w:tbl>
    <w:p w:rsidR="00B523E7" w:rsidRDefault="007F48D3">
      <w:pPr>
        <w:pStyle w:val="a6"/>
        <w:numPr>
          <w:ilvl w:val="0"/>
          <w:numId w:val="0"/>
        </w:numPr>
        <w:spacing w:before="156" w:afterLines="0"/>
        <w:rPr>
          <w:rFonts w:ascii="仿宋_GB2312" w:eastAsia="仿宋_GB2312"/>
          <w:b/>
          <w:sz w:val="28"/>
        </w:rPr>
      </w:pPr>
      <w:r>
        <w:rPr>
          <w:rFonts w:ascii="仿宋_GB2312" w:eastAsia="仿宋_GB2312" w:hint="eastAsia"/>
          <w:b/>
          <w:sz w:val="28"/>
        </w:rPr>
        <w:t>表2不同批次供港包心芥菜单棵重量</w:t>
      </w:r>
    </w:p>
    <w:tbl>
      <w:tblPr>
        <w:tblStyle w:val="a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15"/>
        <w:gridCol w:w="7063"/>
      </w:tblGrid>
      <w:tr w:rsidR="00B523E7">
        <w:trPr>
          <w:trHeight w:hRule="exact" w:val="397"/>
          <w:tblHeader/>
          <w:jc w:val="center"/>
        </w:trPr>
        <w:tc>
          <w:tcPr>
            <w:tcW w:w="1915" w:type="dxa"/>
            <w:tcBorders>
              <w:top w:val="single" w:sz="8" w:space="0" w:color="auto"/>
              <w:bottom w:val="single" w:sz="8" w:space="0" w:color="auto"/>
            </w:tcBorders>
            <w:shd w:val="clear" w:color="auto" w:fill="auto"/>
            <w:vAlign w:val="center"/>
          </w:tcPr>
          <w:p w:rsidR="00B523E7" w:rsidRDefault="007F48D3">
            <w:pPr>
              <w:pStyle w:val="afd"/>
              <w:rPr>
                <w:rFonts w:ascii="仿宋_GB2312" w:eastAsia="仿宋_GB2312"/>
                <w:sz w:val="21"/>
              </w:rPr>
            </w:pPr>
            <w:r>
              <w:rPr>
                <w:rFonts w:ascii="仿宋_GB2312" w:eastAsia="仿宋_GB2312" w:hint="eastAsia"/>
                <w:sz w:val="21"/>
              </w:rPr>
              <w:t>批次</w:t>
            </w:r>
          </w:p>
        </w:tc>
        <w:tc>
          <w:tcPr>
            <w:tcW w:w="7063" w:type="dxa"/>
            <w:tcBorders>
              <w:top w:val="single" w:sz="8" w:space="0" w:color="auto"/>
              <w:bottom w:val="single" w:sz="8" w:space="0" w:color="auto"/>
            </w:tcBorders>
            <w:shd w:val="clear" w:color="auto" w:fill="auto"/>
            <w:vAlign w:val="center"/>
          </w:tcPr>
          <w:p w:rsidR="00B523E7" w:rsidRDefault="007F48D3">
            <w:pPr>
              <w:pStyle w:val="afd"/>
              <w:rPr>
                <w:rFonts w:ascii="仿宋_GB2312" w:eastAsia="仿宋_GB2312"/>
                <w:sz w:val="21"/>
              </w:rPr>
            </w:pPr>
            <w:r>
              <w:rPr>
                <w:rFonts w:ascii="仿宋_GB2312" w:eastAsia="仿宋_GB2312" w:hint="eastAsia"/>
                <w:sz w:val="21"/>
              </w:rPr>
              <w:t>重量，g</w:t>
            </w:r>
          </w:p>
        </w:tc>
      </w:tr>
      <w:tr w:rsidR="00B523E7">
        <w:trPr>
          <w:trHeight w:val="454"/>
          <w:jc w:val="center"/>
        </w:trPr>
        <w:tc>
          <w:tcPr>
            <w:tcW w:w="1915"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1</w:t>
            </w:r>
          </w:p>
        </w:tc>
        <w:tc>
          <w:tcPr>
            <w:tcW w:w="7063"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973.76；952.17；962.18</w:t>
            </w:r>
          </w:p>
        </w:tc>
      </w:tr>
      <w:tr w:rsidR="00B523E7">
        <w:trPr>
          <w:trHeight w:val="454"/>
          <w:jc w:val="center"/>
        </w:trPr>
        <w:tc>
          <w:tcPr>
            <w:tcW w:w="1915"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2</w:t>
            </w:r>
          </w:p>
        </w:tc>
        <w:tc>
          <w:tcPr>
            <w:tcW w:w="7063" w:type="dxa"/>
            <w:tcBorders>
              <w:top w:val="single" w:sz="8"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964.84；918.09；1084.28</w:t>
            </w:r>
          </w:p>
        </w:tc>
      </w:tr>
      <w:tr w:rsidR="00B523E7">
        <w:trPr>
          <w:trHeight w:val="454"/>
          <w:jc w:val="center"/>
        </w:trPr>
        <w:tc>
          <w:tcPr>
            <w:tcW w:w="1915" w:type="dxa"/>
            <w:tcBorders>
              <w:top w:val="single" w:sz="4"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3</w:t>
            </w:r>
          </w:p>
        </w:tc>
        <w:tc>
          <w:tcPr>
            <w:tcW w:w="7063" w:type="dxa"/>
            <w:tcBorders>
              <w:top w:val="single" w:sz="4" w:space="0" w:color="auto"/>
              <w:bottom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1496.34；874.33；1034.29</w:t>
            </w:r>
          </w:p>
        </w:tc>
      </w:tr>
      <w:tr w:rsidR="00B523E7">
        <w:trPr>
          <w:trHeight w:val="454"/>
          <w:jc w:val="center"/>
        </w:trPr>
        <w:tc>
          <w:tcPr>
            <w:tcW w:w="1915" w:type="dxa"/>
            <w:tcBorders>
              <w:top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4</w:t>
            </w:r>
          </w:p>
        </w:tc>
        <w:tc>
          <w:tcPr>
            <w:tcW w:w="7063" w:type="dxa"/>
            <w:tcBorders>
              <w:top w:val="single" w:sz="4" w:space="0" w:color="auto"/>
            </w:tcBorders>
            <w:shd w:val="clear" w:color="auto" w:fill="auto"/>
            <w:vAlign w:val="center"/>
          </w:tcPr>
          <w:p w:rsidR="00B523E7" w:rsidRDefault="007F48D3">
            <w:pPr>
              <w:pStyle w:val="afd"/>
              <w:rPr>
                <w:rFonts w:ascii="仿宋_GB2312" w:eastAsia="仿宋_GB2312"/>
                <w:sz w:val="21"/>
                <w:szCs w:val="21"/>
              </w:rPr>
            </w:pPr>
            <w:r>
              <w:rPr>
                <w:rFonts w:ascii="仿宋_GB2312" w:eastAsia="仿宋_GB2312" w:hint="eastAsia"/>
                <w:sz w:val="21"/>
                <w:szCs w:val="21"/>
              </w:rPr>
              <w:t>1248.37；967.43；1018.03</w:t>
            </w:r>
          </w:p>
        </w:tc>
      </w:tr>
    </w:tbl>
    <w:p w:rsidR="00B523E7" w:rsidRDefault="007F48D3">
      <w:pPr>
        <w:pStyle w:val="a6"/>
        <w:numPr>
          <w:ilvl w:val="0"/>
          <w:numId w:val="0"/>
        </w:numPr>
        <w:spacing w:before="156" w:after="156"/>
        <w:rPr>
          <w:rFonts w:ascii="仿宋_GB2312" w:eastAsia="仿宋_GB2312"/>
          <w:b/>
          <w:sz w:val="28"/>
        </w:rPr>
      </w:pPr>
      <w:r>
        <w:rPr>
          <w:rFonts w:ascii="仿宋_GB2312" w:eastAsia="仿宋_GB2312"/>
          <w:b/>
          <w:noProof/>
          <w:sz w:val="28"/>
        </w:rPr>
        <w:lastRenderedPageBreak/>
        <w:drawing>
          <wp:inline distT="0" distB="0" distL="0" distR="0">
            <wp:extent cx="5688330" cy="2540635"/>
            <wp:effectExtent l="19050" t="19050" r="26670" b="11477"/>
            <wp:docPr id="4" name="图片 4" descr="C:\Users\ADMINI~1\AppData\Local\Temp\WeChat Files\02f685ad5b46ffc749aee6f8873c4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WeChat Files\02f685ad5b46ffc749aee6f8873c472.png"/>
                    <pic:cNvPicPr>
                      <a:picLocks noChangeAspect="1" noChangeArrowheads="1"/>
                    </pic:cNvPicPr>
                  </pic:nvPicPr>
                  <pic:blipFill>
                    <a:blip r:embed="rId9" cstate="print"/>
                    <a:srcRect/>
                    <a:stretch>
                      <a:fillRect/>
                    </a:stretch>
                  </pic:blipFill>
                  <pic:spPr>
                    <a:xfrm>
                      <a:off x="0" y="0"/>
                      <a:ext cx="5688330" cy="2541223"/>
                    </a:xfrm>
                    <a:prstGeom prst="rect">
                      <a:avLst/>
                    </a:prstGeom>
                    <a:noFill/>
                    <a:ln w="9525">
                      <a:solidFill>
                        <a:schemeClr val="tx1"/>
                      </a:solidFill>
                      <a:miter lim="800000"/>
                      <a:headEnd/>
                      <a:tailEnd/>
                    </a:ln>
                  </pic:spPr>
                </pic:pic>
              </a:graphicData>
            </a:graphic>
          </wp:inline>
        </w:drawing>
      </w:r>
    </w:p>
    <w:p w:rsidR="00B523E7" w:rsidRDefault="007F48D3">
      <w:pPr>
        <w:pStyle w:val="a6"/>
        <w:numPr>
          <w:ilvl w:val="0"/>
          <w:numId w:val="0"/>
        </w:numPr>
        <w:spacing w:before="156" w:after="156"/>
        <w:rPr>
          <w:rFonts w:ascii="仿宋_GB2312" w:eastAsia="仿宋_GB2312"/>
          <w:b/>
          <w:sz w:val="28"/>
        </w:rPr>
      </w:pPr>
      <w:r>
        <w:rPr>
          <w:rFonts w:ascii="仿宋_GB2312" w:eastAsia="仿宋_GB2312" w:hint="eastAsia"/>
          <w:b/>
          <w:sz w:val="28"/>
        </w:rPr>
        <w:t>图1 NY/T 1324-2015《绿色食品  芥菜类蔬菜》</w:t>
      </w:r>
    </w:p>
    <w:p w:rsidR="00B523E7" w:rsidRDefault="007F48D3">
      <w:pPr>
        <w:rPr>
          <w:rFonts w:ascii="楷体" w:eastAsia="楷体" w:hAnsi="楷体"/>
          <w:b/>
          <w:sz w:val="32"/>
          <w:szCs w:val="32"/>
          <w:lang w:val="zh-CN"/>
        </w:rPr>
      </w:pPr>
      <w:r>
        <w:rPr>
          <w:rFonts w:ascii="楷体" w:eastAsia="楷体" w:hAnsi="楷体"/>
          <w:b/>
          <w:noProof/>
          <w:sz w:val="32"/>
          <w:szCs w:val="32"/>
        </w:rPr>
        <w:drawing>
          <wp:inline distT="0" distB="0" distL="0" distR="0">
            <wp:extent cx="5687060" cy="4194810"/>
            <wp:effectExtent l="19050" t="19050" r="27830" b="14908"/>
            <wp:docPr id="3" name="图片 3" descr="C:\Users\ADMINI~1\AppData\Local\Temp\WeChat Files\b34cdcb1d942ed6805807025e2712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WeChat Files\b34cdcb1d942ed6805807025e2712a3.png"/>
                    <pic:cNvPicPr>
                      <a:picLocks noChangeAspect="1" noChangeArrowheads="1"/>
                    </pic:cNvPicPr>
                  </pic:nvPicPr>
                  <pic:blipFill>
                    <a:blip r:embed="rId10" cstate="print"/>
                    <a:srcRect/>
                    <a:stretch>
                      <a:fillRect/>
                    </a:stretch>
                  </pic:blipFill>
                  <pic:spPr>
                    <a:xfrm>
                      <a:off x="0" y="0"/>
                      <a:ext cx="5688330" cy="4195998"/>
                    </a:xfrm>
                    <a:prstGeom prst="rect">
                      <a:avLst/>
                    </a:prstGeom>
                    <a:noFill/>
                    <a:ln w="9525">
                      <a:solidFill>
                        <a:schemeClr val="tx1"/>
                      </a:solidFill>
                      <a:miter lim="800000"/>
                      <a:headEnd/>
                      <a:tailEnd/>
                    </a:ln>
                  </pic:spPr>
                </pic:pic>
              </a:graphicData>
            </a:graphic>
          </wp:inline>
        </w:drawing>
      </w:r>
    </w:p>
    <w:p w:rsidR="00B523E7" w:rsidRDefault="007F48D3">
      <w:pPr>
        <w:pStyle w:val="a6"/>
        <w:numPr>
          <w:ilvl w:val="0"/>
          <w:numId w:val="0"/>
        </w:numPr>
        <w:spacing w:beforeLines="0" w:after="156"/>
        <w:rPr>
          <w:rFonts w:ascii="仿宋_GB2312" w:eastAsia="仿宋_GB2312"/>
          <w:b/>
          <w:sz w:val="28"/>
        </w:rPr>
      </w:pPr>
      <w:r>
        <w:rPr>
          <w:rFonts w:ascii="仿宋_GB2312" w:eastAsia="仿宋_GB2312" w:hint="eastAsia"/>
          <w:b/>
          <w:sz w:val="28"/>
        </w:rPr>
        <w:t>图2 DB45/T 268-2005《包心肉芥菜》</w:t>
      </w:r>
    </w:p>
    <w:p w:rsidR="00B523E7" w:rsidRDefault="007F48D3" w:rsidP="00832F41">
      <w:pPr>
        <w:spacing w:afterLines="50"/>
        <w:rPr>
          <w:rFonts w:ascii="楷体" w:eastAsia="楷体" w:hAnsi="楷体"/>
          <w:b/>
          <w:sz w:val="32"/>
          <w:szCs w:val="32"/>
          <w:lang w:val="zh-CN"/>
        </w:rPr>
      </w:pPr>
      <w:r>
        <w:rPr>
          <w:rFonts w:ascii="楷体" w:eastAsia="楷体" w:hAnsi="楷体"/>
          <w:b/>
          <w:noProof/>
          <w:sz w:val="32"/>
          <w:szCs w:val="32"/>
        </w:rPr>
        <w:lastRenderedPageBreak/>
        <w:drawing>
          <wp:inline distT="0" distB="0" distL="0" distR="0">
            <wp:extent cx="5690235" cy="3148330"/>
            <wp:effectExtent l="19050" t="19050" r="24682" b="13583"/>
            <wp:docPr id="5" name="图片 5" descr="C:\Users\ADMINI~1\AppData\Local\Temp\WeChat Files\d6c7beb501e0878ef6b9039eb9a7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6c7beb501e0878ef6b9039eb9a7cdf.png"/>
                    <pic:cNvPicPr>
                      <a:picLocks noChangeAspect="1" noChangeArrowheads="1"/>
                    </pic:cNvPicPr>
                  </pic:nvPicPr>
                  <pic:blipFill>
                    <a:blip r:embed="rId11" cstate="print"/>
                    <a:srcRect/>
                    <a:stretch>
                      <a:fillRect/>
                    </a:stretch>
                  </pic:blipFill>
                  <pic:spPr>
                    <a:xfrm>
                      <a:off x="0" y="0"/>
                      <a:ext cx="5688330" cy="3147617"/>
                    </a:xfrm>
                    <a:prstGeom prst="rect">
                      <a:avLst/>
                    </a:prstGeom>
                    <a:noFill/>
                    <a:ln w="9525">
                      <a:solidFill>
                        <a:schemeClr val="tx1"/>
                      </a:solidFill>
                      <a:miter lim="800000"/>
                      <a:headEnd/>
                      <a:tailEnd/>
                    </a:ln>
                  </pic:spPr>
                </pic:pic>
              </a:graphicData>
            </a:graphic>
          </wp:inline>
        </w:drawing>
      </w:r>
    </w:p>
    <w:p w:rsidR="00B523E7" w:rsidRDefault="007F48D3">
      <w:pPr>
        <w:pStyle w:val="a6"/>
        <w:numPr>
          <w:ilvl w:val="0"/>
          <w:numId w:val="0"/>
        </w:numPr>
        <w:spacing w:beforeLines="0" w:after="156"/>
        <w:rPr>
          <w:rFonts w:ascii="仿宋_GB2312" w:eastAsia="仿宋_GB2312"/>
          <w:b/>
          <w:sz w:val="28"/>
        </w:rPr>
        <w:sectPr w:rsidR="00B523E7">
          <w:footerReference w:type="default" r:id="rId12"/>
          <w:pgSz w:w="11906" w:h="16838"/>
          <w:pgMar w:top="1474" w:right="1474" w:bottom="1474" w:left="1474" w:header="851" w:footer="992" w:gutter="0"/>
          <w:cols w:space="720"/>
          <w:docGrid w:type="lines" w:linePitch="312"/>
        </w:sectPr>
      </w:pPr>
      <w:r>
        <w:rPr>
          <w:rFonts w:ascii="仿宋_GB2312" w:eastAsia="仿宋_GB2312" w:hint="eastAsia"/>
          <w:b/>
          <w:sz w:val="28"/>
        </w:rPr>
        <w:t>图3 DB44/T 886-2011《地理标志产品  水东芥菜》</w:t>
      </w: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w:t>
      </w:r>
      <w:r w:rsidR="00832F41">
        <w:rPr>
          <w:rFonts w:ascii="楷体" w:eastAsia="楷体" w:hAnsi="楷体" w:hint="eastAsia"/>
          <w:b/>
          <w:sz w:val="32"/>
          <w:szCs w:val="32"/>
          <w:lang w:val="zh-CN"/>
        </w:rPr>
        <w:t>三</w:t>
      </w:r>
      <w:r>
        <w:rPr>
          <w:rFonts w:ascii="楷体" w:eastAsia="楷体" w:hAnsi="楷体" w:hint="eastAsia"/>
          <w:b/>
          <w:sz w:val="32"/>
          <w:szCs w:val="32"/>
          <w:lang w:val="zh-CN"/>
        </w:rPr>
        <w:t>）理化指标</w:t>
      </w:r>
    </w:p>
    <w:p w:rsidR="00D266D1" w:rsidRDefault="007F48D3">
      <w:pPr>
        <w:ind w:firstLineChars="200" w:firstLine="640"/>
        <w:rPr>
          <w:rFonts w:ascii="仿宋_GB2312" w:eastAsia="仿宋_GB2312" w:hAnsi="宋体"/>
          <w:sz w:val="32"/>
          <w:szCs w:val="28"/>
          <w:lang w:val="zh-CN"/>
        </w:rPr>
      </w:pPr>
      <w:r>
        <w:rPr>
          <w:rFonts w:ascii="仿宋_GB2312" w:eastAsia="仿宋_GB2312" w:hAnsi="宋体"/>
          <w:sz w:val="32"/>
          <w:szCs w:val="28"/>
          <w:lang w:val="zh-CN"/>
        </w:rPr>
        <w:t>2021.12.03</w:t>
      </w:r>
      <w:r>
        <w:rPr>
          <w:rFonts w:ascii="仿宋_GB2312" w:eastAsia="仿宋_GB2312" w:hAnsi="宋体" w:hint="eastAsia"/>
          <w:sz w:val="32"/>
          <w:szCs w:val="28"/>
          <w:lang w:val="zh-CN"/>
        </w:rPr>
        <w:t>、</w:t>
      </w:r>
      <w:r>
        <w:rPr>
          <w:rFonts w:ascii="仿宋_GB2312" w:eastAsia="仿宋_GB2312" w:hAnsi="宋体"/>
          <w:sz w:val="32"/>
          <w:szCs w:val="28"/>
          <w:lang w:val="zh-CN"/>
        </w:rPr>
        <w:t>2022.01.14</w:t>
      </w:r>
      <w:r>
        <w:rPr>
          <w:rFonts w:ascii="仿宋_GB2312" w:eastAsia="仿宋_GB2312" w:hAnsi="宋体" w:hint="eastAsia"/>
          <w:sz w:val="32"/>
          <w:szCs w:val="28"/>
          <w:lang w:val="zh-CN"/>
        </w:rPr>
        <w:t>、</w:t>
      </w:r>
      <w:r>
        <w:rPr>
          <w:rFonts w:ascii="仿宋_GB2312" w:eastAsia="仿宋_GB2312" w:hAnsi="宋体"/>
          <w:sz w:val="32"/>
          <w:szCs w:val="28"/>
          <w:lang w:val="zh-CN"/>
        </w:rPr>
        <w:t>2022.01.18</w:t>
      </w:r>
      <w:r>
        <w:rPr>
          <w:rFonts w:ascii="仿宋_GB2312" w:eastAsia="仿宋_GB2312" w:hAnsi="宋体" w:hint="eastAsia"/>
          <w:sz w:val="32"/>
          <w:szCs w:val="28"/>
          <w:lang w:val="zh-CN"/>
        </w:rPr>
        <w:t>，于贺州供港蔬菜基地采集4批次包心芥菜样品，由贺州检验中心承担检测任务。</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送检的供港包心芥菜中蛋白质含量在2.1～2.2 g/100g之间，对比DB44/T 886-2011《地理标志产品  水东芥菜》（蛋白质含量为≥1.0 g/100g），中国食物成分表限定蛋白质含量为≥1.8g/100g，综合分析拟定供港包心芥菜中蛋白质含量≥2.0 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粗纤维虽然不能被人体消化吸收，但可以促进肠道蠕动，有利于粪便的排出，阻止或减少胆固醇的吸收，有益于健康，但含量过高会导致蔬菜口感变差，经检测供港包心芥菜粗纤维含量在0.86～0.92 g/100g之间（中国食物成分表为1.2 g/100g），拟定粗纤维含量≥0.8 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经检测供港包心芥菜可溶性糖含量在2.8～2.86 g/100g之间，范围波动较小，拟定可溶性糖含量≥2.6 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芥菜含有大量的抗坏血酸，是活性很强的还原物质，参与机体重要的氧化还原过程，能增加大脑中氧含量，激发大脑对氧的利用，有提神醒脑，解除疲劳的作用。经检测供港包心芥菜维生素C含量在72.14～75.31 mg/100g之间（中国食物成分表为72 mg/100g），均大于72 mg/100g，拟定维生素C含量≥72 mg/100g。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蔬菜中所含的碳水化合物包括淀粉、糖、纤维素和果胶，经检测供港包心芥菜碳水化合物含量在3.81～3.88 g/100g之间，</w:t>
      </w:r>
      <w:r>
        <w:rPr>
          <w:rFonts w:ascii="仿宋_GB2312" w:eastAsia="仿宋_GB2312" w:hAnsi="宋体" w:hint="eastAsia"/>
          <w:sz w:val="32"/>
          <w:szCs w:val="28"/>
          <w:lang w:val="zh-CN"/>
        </w:rPr>
        <w:lastRenderedPageBreak/>
        <w:t>范围波动较小，且远高于中国食物成分表为0.8 g/100g，拟定碳水化合物含量≥3.5 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钾是一种重要的电解质，也是人体第三丰富的矿物质，它与钠相互作用，发挥许多重要的功能，比如平衡体内的液体和矿物质水平。经检测供港包心芥菜钾含量在</w:t>
      </w:r>
      <w:r>
        <w:rPr>
          <w:rFonts w:ascii="仿宋_GB2312" w:eastAsia="仿宋_GB2312" w:hAnsi="宋体"/>
          <w:sz w:val="32"/>
          <w:szCs w:val="28"/>
          <w:lang w:val="zh-CN"/>
        </w:rPr>
        <w:t>243.01</w:t>
      </w:r>
      <w:r>
        <w:rPr>
          <w:rFonts w:ascii="仿宋_GB2312" w:eastAsia="仿宋_GB2312" w:hAnsi="宋体" w:hint="eastAsia"/>
          <w:sz w:val="32"/>
          <w:szCs w:val="28"/>
          <w:lang w:val="zh-CN"/>
        </w:rPr>
        <w:t>～256.21 mg/100g之间，其中≥250 mg/100g的比例为75%，考虑到被检产品均为市场认可的合格产品；且远高于DB44/T 886-2011《地理标志产品  水东芥菜》（150 mg/100g），故拟定钾含量≥240 mg/100g。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经检测供港包心芥菜钙含量在91.2～91.8 mg/100g之间，其中DB44/T 886-2011《地理标志产品  水东芥菜》（50 mg/100g），中国食物成分表为28 mg/100g，与之相比贺州生产的供港包心芥菜优势突出，经综合分析拟定钙含量≥90 mg/100g。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经检测供港包心芥菜铁含量在0.74～0.86 mg/100g之间，低于中国食物成分表（1.0 g/100g），综合考虑不同芥菜间品种差异及产地差异，故拟定铁含量≥0.7 mg/100g。</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镁是哺乳动物和人类所必需的微量元素，它是细胞内重要的阳离子，参与蛋白质的合成和肌肉的收缩作用。经检测供港包心芥菜镁含量在7.53～8.94 mg/100g之间，且暂无标准或文件参考，拟定镁含量≥7.5 mg/100g，送检产品均可达到该指标。</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包心芥菜中含有丰富的抗癌元素之王——硒，可阻止癌细胞的分裂与生长，抑制致癌物的活力并加速解毒，甚至可使癌细胞发生逆转，刺激机体免疫功能，促进抗体的形成，提高对癌的抵</w:t>
      </w:r>
      <w:r>
        <w:rPr>
          <w:rFonts w:ascii="仿宋_GB2312" w:eastAsia="仿宋_GB2312" w:hAnsi="宋体" w:hint="eastAsia"/>
          <w:sz w:val="32"/>
          <w:szCs w:val="28"/>
          <w:lang w:val="zh-CN"/>
        </w:rPr>
        <w:lastRenderedPageBreak/>
        <w:t>抗力。经检测供港包心芥菜硒含量在0.043～0.068 mg/kg之间，较其他蔬菜含量具有优势，但未达到GH/T 1135—2017《富硒农产品》（0.1</w:t>
      </w:r>
      <w:r>
        <w:rPr>
          <w:rFonts w:ascii="宋体" w:hAnsi="宋体" w:hint="eastAsia"/>
          <w:sz w:val="32"/>
          <w:szCs w:val="28"/>
          <w:lang w:val="zh-CN"/>
        </w:rPr>
        <w:t>～1.0</w:t>
      </w:r>
      <w:r>
        <w:rPr>
          <w:rFonts w:ascii="仿宋_GB2312" w:eastAsia="仿宋_GB2312" w:hAnsi="宋体" w:hint="eastAsia"/>
          <w:sz w:val="32"/>
          <w:szCs w:val="28"/>
          <w:lang w:val="zh-CN"/>
        </w:rPr>
        <w:t>）要求，经分析拟定硒</w:t>
      </w:r>
      <w:bookmarkStart w:id="0" w:name="_GoBack"/>
      <w:bookmarkEnd w:id="0"/>
      <w:r>
        <w:rPr>
          <w:rFonts w:ascii="仿宋_GB2312" w:eastAsia="仿宋_GB2312" w:hAnsi="宋体" w:hint="eastAsia"/>
          <w:sz w:val="32"/>
          <w:szCs w:val="28"/>
          <w:lang w:val="zh-CN"/>
        </w:rPr>
        <w:t>含量≥0.</w:t>
      </w:r>
      <w:r>
        <w:rPr>
          <w:rFonts w:ascii="仿宋_GB2312" w:eastAsia="仿宋_GB2312" w:hAnsi="宋体" w:hint="eastAsia"/>
          <w:sz w:val="32"/>
          <w:szCs w:val="28"/>
        </w:rPr>
        <w:t>0</w:t>
      </w:r>
      <w:r>
        <w:rPr>
          <w:rFonts w:ascii="仿宋_GB2312" w:eastAsia="仿宋_GB2312" w:hAnsi="宋体" w:hint="eastAsia"/>
          <w:sz w:val="32"/>
          <w:szCs w:val="28"/>
          <w:lang w:val="zh-CN"/>
        </w:rPr>
        <w:t>4 mg/kg。</w:t>
      </w:r>
    </w:p>
    <w:p w:rsidR="00B523E7" w:rsidRDefault="007F48D3">
      <w:pPr>
        <w:jc w:val="center"/>
        <w:rPr>
          <w:rFonts w:ascii="仿宋_GB2312" w:eastAsia="仿宋_GB2312"/>
          <w:b/>
          <w:sz w:val="28"/>
        </w:rPr>
      </w:pPr>
      <w:r>
        <w:rPr>
          <w:rFonts w:ascii="仿宋_GB2312" w:eastAsia="仿宋_GB2312" w:hint="eastAsia"/>
          <w:b/>
          <w:sz w:val="28"/>
        </w:rPr>
        <w:t>表3 理化指标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637"/>
        <w:gridCol w:w="5537"/>
      </w:tblGrid>
      <w:tr w:rsidR="00B523E7">
        <w:trPr>
          <w:trHeight w:val="400"/>
          <w:jc w:val="center"/>
        </w:trPr>
        <w:tc>
          <w:tcPr>
            <w:tcW w:w="1982"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项目</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指标</w:t>
            </w:r>
          </w:p>
        </w:tc>
      </w:tr>
      <w:tr w:rsidR="00B523E7">
        <w:trPr>
          <w:jc w:val="center"/>
        </w:trPr>
        <w:tc>
          <w:tcPr>
            <w:tcW w:w="1982"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蛋白质，g/100</w:t>
            </w:r>
            <w:r>
              <w:rPr>
                <w:rFonts w:ascii="仿宋_GB2312" w:eastAsia="仿宋_GB2312" w:hAnsi="宋体" w:hint="eastAsia"/>
                <w:szCs w:val="18"/>
                <w:vertAlign w:val="superscript"/>
              </w:rPr>
              <w:t xml:space="preserve"> </w:t>
            </w:r>
            <w:r>
              <w:rPr>
                <w:rFonts w:ascii="仿宋_GB2312" w:eastAsia="仿宋_GB2312" w:hAnsi="宋体" w:hint="eastAsia"/>
                <w:szCs w:val="18"/>
              </w:rPr>
              <w:t>g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2.0</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粗纤维，g/100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0.8</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可溶性糖，g/100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2.5</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维生素C，mg/100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70.0</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碳水化合物  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3.5</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钾，mg/100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240.0</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钙，mg/100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90.0</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铁，mg/100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0.7</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镁，mg/100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7.5</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硒（以干重计），mg/kg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0.04</w:t>
            </w:r>
          </w:p>
        </w:tc>
      </w:tr>
      <w:tr w:rsidR="00B523E7">
        <w:trPr>
          <w:jc w:val="center"/>
        </w:trPr>
        <w:tc>
          <w:tcPr>
            <w:tcW w:w="1982" w:type="pct"/>
            <w:shd w:val="clear" w:color="auto" w:fill="auto"/>
            <w:vAlign w:val="center"/>
          </w:tcPr>
          <w:p w:rsidR="00B523E7" w:rsidRDefault="007F48D3">
            <w:pPr>
              <w:pStyle w:val="afd"/>
              <w:rPr>
                <w:rFonts w:ascii="仿宋_GB2312" w:eastAsia="仿宋_GB2312" w:hAnsi="宋体"/>
                <w:kern w:val="2"/>
                <w:sz w:val="21"/>
                <w:szCs w:val="18"/>
              </w:rPr>
            </w:pPr>
            <w:r>
              <w:rPr>
                <w:rFonts w:ascii="仿宋_GB2312" w:eastAsia="仿宋_GB2312" w:hAnsi="宋体" w:hint="eastAsia"/>
                <w:kern w:val="2"/>
                <w:sz w:val="21"/>
                <w:szCs w:val="18"/>
              </w:rPr>
              <w:t>水分，g/100</w:t>
            </w:r>
            <w:r>
              <w:rPr>
                <w:rFonts w:ascii="仿宋_GB2312" w:eastAsia="仿宋_GB2312" w:hAnsi="宋体" w:hint="eastAsia"/>
                <w:sz w:val="21"/>
                <w:szCs w:val="18"/>
                <w:vertAlign w:val="superscript"/>
              </w:rPr>
              <w:t xml:space="preserve"> </w:t>
            </w:r>
            <w:r>
              <w:rPr>
                <w:rFonts w:ascii="仿宋_GB2312" w:eastAsia="仿宋_GB2312" w:hAnsi="宋体" w:hint="eastAsia"/>
                <w:kern w:val="2"/>
                <w:sz w:val="21"/>
                <w:szCs w:val="18"/>
              </w:rPr>
              <w:t>g</w:t>
            </w:r>
            <w:r>
              <w:rPr>
                <w:rFonts w:ascii="仿宋_GB2312" w:eastAsia="仿宋_GB2312" w:hAnsi="宋体" w:hint="eastAsia"/>
                <w:sz w:val="21"/>
                <w:szCs w:val="18"/>
              </w:rPr>
              <w:t xml:space="preserve">              ≥</w:t>
            </w:r>
          </w:p>
        </w:tc>
        <w:tc>
          <w:tcPr>
            <w:tcW w:w="3018" w:type="pct"/>
            <w:shd w:val="clear" w:color="auto" w:fill="auto"/>
            <w:vAlign w:val="center"/>
          </w:tcPr>
          <w:p w:rsidR="00B523E7" w:rsidRDefault="007F48D3">
            <w:pPr>
              <w:jc w:val="center"/>
              <w:rPr>
                <w:rFonts w:ascii="仿宋_GB2312" w:eastAsia="仿宋_GB2312" w:hAnsi="宋体"/>
                <w:szCs w:val="18"/>
              </w:rPr>
            </w:pPr>
            <w:r>
              <w:rPr>
                <w:rFonts w:ascii="仿宋_GB2312" w:eastAsia="仿宋_GB2312" w:hAnsi="宋体" w:hint="eastAsia"/>
                <w:szCs w:val="18"/>
              </w:rPr>
              <w:t>90.0</w:t>
            </w:r>
          </w:p>
        </w:tc>
      </w:tr>
    </w:tbl>
    <w:p w:rsidR="00B523E7" w:rsidRDefault="007F48D3">
      <w:pPr>
        <w:rPr>
          <w:rFonts w:ascii="仿宋_GB2312" w:eastAsia="仿宋_GB2312" w:hAnsi="宋体"/>
          <w:sz w:val="32"/>
          <w:szCs w:val="28"/>
          <w:lang w:val="zh-CN"/>
        </w:rPr>
      </w:pPr>
      <w:r>
        <w:rPr>
          <w:rFonts w:ascii="仿宋_GB2312" w:eastAsia="仿宋_GB2312" w:hAnsi="宋体"/>
          <w:noProof/>
          <w:sz w:val="32"/>
          <w:szCs w:val="28"/>
        </w:rPr>
        <w:drawing>
          <wp:inline distT="0" distB="0" distL="0" distR="0">
            <wp:extent cx="5833110" cy="3434715"/>
            <wp:effectExtent l="19050" t="0" r="0" b="0"/>
            <wp:docPr id="2" name="图片 2" descr="C:\Users\ADMINI~1\AppData\Local\Temp\WeChat Files\382e9a658f12ea7028ce625fa370b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382e9a658f12ea7028ce625fa370be5.png"/>
                    <pic:cNvPicPr>
                      <a:picLocks noChangeAspect="1" noChangeArrowheads="1"/>
                    </pic:cNvPicPr>
                  </pic:nvPicPr>
                  <pic:blipFill>
                    <a:blip r:embed="rId13" cstate="print"/>
                    <a:srcRect/>
                    <a:stretch>
                      <a:fillRect/>
                    </a:stretch>
                  </pic:blipFill>
                  <pic:spPr>
                    <a:xfrm>
                      <a:off x="0" y="0"/>
                      <a:ext cx="5834091" cy="3435541"/>
                    </a:xfrm>
                    <a:prstGeom prst="rect">
                      <a:avLst/>
                    </a:prstGeom>
                    <a:noFill/>
                    <a:ln w="9525">
                      <a:noFill/>
                      <a:miter lim="800000"/>
                      <a:headEnd/>
                      <a:tailEnd/>
                    </a:ln>
                  </pic:spPr>
                </pic:pic>
              </a:graphicData>
            </a:graphic>
          </wp:inline>
        </w:drawing>
      </w:r>
    </w:p>
    <w:p w:rsidR="00B523E7" w:rsidRDefault="007F48D3">
      <w:pPr>
        <w:jc w:val="center"/>
        <w:rPr>
          <w:rFonts w:ascii="仿宋_GB2312" w:eastAsia="仿宋_GB2312"/>
          <w:b/>
          <w:sz w:val="28"/>
        </w:rPr>
      </w:pPr>
      <w:r>
        <w:rPr>
          <w:rFonts w:ascii="仿宋_GB2312" w:eastAsia="仿宋_GB2312" w:hint="eastAsia"/>
          <w:b/>
          <w:sz w:val="28"/>
        </w:rPr>
        <w:t>图4  GH/T 1135—2017《富硒农产品》</w:t>
      </w:r>
    </w:p>
    <w:p w:rsidR="00B523E7" w:rsidRDefault="00B523E7">
      <w:pPr>
        <w:ind w:firstLineChars="200" w:firstLine="640"/>
        <w:rPr>
          <w:rFonts w:ascii="仿宋_GB2312" w:eastAsia="仿宋_GB2312" w:hAnsi="宋体"/>
          <w:sz w:val="32"/>
          <w:szCs w:val="28"/>
          <w:lang w:val="zh-CN"/>
        </w:rPr>
      </w:pPr>
    </w:p>
    <w:p w:rsidR="00B523E7" w:rsidRDefault="00B523E7">
      <w:pPr>
        <w:ind w:firstLineChars="200" w:firstLine="640"/>
        <w:rPr>
          <w:rFonts w:ascii="仿宋_GB2312" w:eastAsia="仿宋_GB2312" w:hAnsi="宋体"/>
          <w:sz w:val="32"/>
          <w:szCs w:val="28"/>
          <w:lang w:val="zh-CN"/>
        </w:rPr>
        <w:sectPr w:rsidR="00B523E7">
          <w:pgSz w:w="11906" w:h="16838"/>
          <w:pgMar w:top="1474" w:right="1474" w:bottom="1474" w:left="1474" w:header="851" w:footer="992" w:gutter="0"/>
          <w:cols w:space="720"/>
          <w:docGrid w:type="lines" w:linePitch="312"/>
        </w:sectPr>
      </w:pPr>
    </w:p>
    <w:p w:rsidR="00B523E7" w:rsidRDefault="007F48D3">
      <w:pPr>
        <w:jc w:val="center"/>
        <w:rPr>
          <w:rFonts w:ascii="仿宋_GB2312" w:eastAsia="仿宋_GB2312"/>
          <w:b/>
          <w:sz w:val="28"/>
        </w:rPr>
      </w:pPr>
      <w:r>
        <w:rPr>
          <w:rFonts w:ascii="仿宋_GB2312" w:eastAsia="仿宋_GB2312"/>
          <w:b/>
          <w:noProof/>
          <w:sz w:val="28"/>
        </w:rPr>
        <w:lastRenderedPageBreak/>
        <w:drawing>
          <wp:inline distT="0" distB="0" distL="0" distR="0">
            <wp:extent cx="8804910" cy="2066925"/>
            <wp:effectExtent l="19050" t="19050" r="14652" b="28161"/>
            <wp:docPr id="1" name="图片 1" descr="C:\Users\ADMINI~1\AppData\Local\Temp\16457500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1645750076(1).png"/>
                    <pic:cNvPicPr>
                      <a:picLocks noChangeAspect="1" noChangeArrowheads="1"/>
                    </pic:cNvPicPr>
                  </pic:nvPicPr>
                  <pic:blipFill>
                    <a:blip r:embed="rId14" cstate="print"/>
                    <a:srcRect/>
                    <a:stretch>
                      <a:fillRect/>
                    </a:stretch>
                  </pic:blipFill>
                  <pic:spPr>
                    <a:xfrm>
                      <a:off x="0" y="0"/>
                      <a:ext cx="8820150" cy="2070779"/>
                    </a:xfrm>
                    <a:prstGeom prst="rect">
                      <a:avLst/>
                    </a:prstGeom>
                    <a:noFill/>
                    <a:ln w="9525">
                      <a:solidFill>
                        <a:schemeClr val="tx1"/>
                      </a:solidFill>
                      <a:miter lim="800000"/>
                      <a:headEnd/>
                      <a:tailEnd/>
                    </a:ln>
                  </pic:spPr>
                </pic:pic>
              </a:graphicData>
            </a:graphic>
          </wp:inline>
        </w:drawing>
      </w:r>
    </w:p>
    <w:p w:rsidR="00B523E7" w:rsidRDefault="007F48D3">
      <w:pPr>
        <w:jc w:val="center"/>
        <w:rPr>
          <w:rFonts w:ascii="仿宋_GB2312" w:eastAsia="仿宋_GB2312"/>
          <w:b/>
          <w:sz w:val="28"/>
        </w:rPr>
      </w:pPr>
      <w:r>
        <w:rPr>
          <w:rFonts w:ascii="仿宋_GB2312" w:eastAsia="仿宋_GB2312" w:hint="eastAsia"/>
          <w:b/>
          <w:sz w:val="28"/>
        </w:rPr>
        <w:t>图5  中国食物成分表（包心芥菜）</w:t>
      </w:r>
    </w:p>
    <w:p w:rsidR="00B523E7" w:rsidRDefault="007F48D3">
      <w:pPr>
        <w:jc w:val="center"/>
        <w:rPr>
          <w:rFonts w:ascii="仿宋_GB2312" w:eastAsia="仿宋_GB2312"/>
          <w:b/>
          <w:sz w:val="28"/>
        </w:rPr>
      </w:pPr>
      <w:r>
        <w:rPr>
          <w:rFonts w:ascii="仿宋_GB2312" w:eastAsia="仿宋_GB2312" w:hint="eastAsia"/>
          <w:b/>
          <w:sz w:val="28"/>
        </w:rPr>
        <w:t>表4  包心芥菜</w:t>
      </w:r>
    </w:p>
    <w:tbl>
      <w:tblPr>
        <w:tblW w:w="14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8"/>
        <w:gridCol w:w="1273"/>
        <w:gridCol w:w="1273"/>
        <w:gridCol w:w="1289"/>
        <w:gridCol w:w="1283"/>
        <w:gridCol w:w="1284"/>
        <w:gridCol w:w="1139"/>
        <w:gridCol w:w="1282"/>
        <w:gridCol w:w="1283"/>
        <w:gridCol w:w="1283"/>
        <w:gridCol w:w="1124"/>
        <w:gridCol w:w="1283"/>
      </w:tblGrid>
      <w:tr w:rsidR="00B523E7">
        <w:trPr>
          <w:trHeight w:val="373"/>
          <w:jc w:val="center"/>
        </w:trPr>
        <w:tc>
          <w:tcPr>
            <w:tcW w:w="428"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批次</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蛋白质</w:t>
            </w:r>
          </w:p>
          <w:p w:rsidR="00B523E7" w:rsidRDefault="007F48D3">
            <w:pPr>
              <w:jc w:val="center"/>
              <w:rPr>
                <w:rFonts w:ascii="仿宋_GB2312" w:eastAsia="仿宋_GB2312" w:hAnsi="宋体"/>
                <w:b/>
                <w:szCs w:val="21"/>
              </w:rPr>
            </w:pPr>
            <w:r>
              <w:rPr>
                <w:rFonts w:ascii="仿宋_GB2312" w:eastAsia="仿宋_GB2312" w:hAnsi="宋体" w:hint="eastAsia"/>
                <w:szCs w:val="21"/>
              </w:rPr>
              <w:t>（g/100g）</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粗纤维</w:t>
            </w:r>
          </w:p>
          <w:p w:rsidR="00B523E7" w:rsidRDefault="007F48D3">
            <w:pPr>
              <w:jc w:val="center"/>
              <w:rPr>
                <w:rFonts w:ascii="仿宋_GB2312" w:eastAsia="仿宋_GB2312" w:hAnsi="宋体"/>
                <w:szCs w:val="21"/>
              </w:rPr>
            </w:pPr>
            <w:r>
              <w:rPr>
                <w:rFonts w:ascii="仿宋_GB2312" w:eastAsia="仿宋_GB2312" w:hAnsi="宋体" w:hint="eastAsia"/>
                <w:szCs w:val="21"/>
              </w:rPr>
              <w:t>（g/100g）</w:t>
            </w:r>
          </w:p>
        </w:tc>
        <w:tc>
          <w:tcPr>
            <w:tcW w:w="128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可溶性糖</w:t>
            </w:r>
          </w:p>
          <w:p w:rsidR="00B523E7" w:rsidRDefault="007F48D3">
            <w:pPr>
              <w:jc w:val="center"/>
              <w:rPr>
                <w:rFonts w:ascii="仿宋_GB2312" w:eastAsia="仿宋_GB2312" w:hAnsi="宋体"/>
                <w:szCs w:val="21"/>
              </w:rPr>
            </w:pPr>
            <w:r>
              <w:rPr>
                <w:rFonts w:ascii="仿宋_GB2312" w:eastAsia="仿宋_GB2312" w:hAnsi="宋体" w:hint="eastAsia"/>
                <w:szCs w:val="21"/>
              </w:rPr>
              <w:t>（g/100g）</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维生素C</w:t>
            </w:r>
          </w:p>
          <w:p w:rsidR="00B523E7" w:rsidRDefault="007F48D3">
            <w:pPr>
              <w:jc w:val="center"/>
              <w:rPr>
                <w:rFonts w:ascii="仿宋_GB2312" w:eastAsia="仿宋_GB2312" w:hAnsi="宋体"/>
                <w:szCs w:val="21"/>
              </w:rPr>
            </w:pPr>
            <w:r>
              <w:rPr>
                <w:rFonts w:ascii="仿宋_GB2312" w:eastAsia="仿宋_GB2312" w:hAnsi="宋体" w:hint="eastAsia"/>
                <w:szCs w:val="21"/>
              </w:rPr>
              <w:t>（mg/100g）</w:t>
            </w:r>
          </w:p>
        </w:tc>
        <w:tc>
          <w:tcPr>
            <w:tcW w:w="128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碳水</w:t>
            </w:r>
          </w:p>
          <w:p w:rsidR="00B523E7" w:rsidRDefault="007F48D3">
            <w:pPr>
              <w:jc w:val="center"/>
              <w:rPr>
                <w:rFonts w:ascii="仿宋_GB2312" w:eastAsia="仿宋_GB2312" w:hAnsi="宋体"/>
                <w:szCs w:val="21"/>
              </w:rPr>
            </w:pPr>
            <w:r>
              <w:rPr>
                <w:rFonts w:ascii="仿宋_GB2312" w:eastAsia="仿宋_GB2312" w:hAnsi="宋体" w:hint="eastAsia"/>
                <w:szCs w:val="21"/>
              </w:rPr>
              <w:t>化合物（g/100g）</w:t>
            </w:r>
          </w:p>
        </w:tc>
        <w:tc>
          <w:tcPr>
            <w:tcW w:w="113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钾</w:t>
            </w:r>
          </w:p>
          <w:p w:rsidR="00B523E7" w:rsidRDefault="007F48D3">
            <w:pPr>
              <w:jc w:val="center"/>
              <w:rPr>
                <w:rFonts w:ascii="仿宋_GB2312" w:eastAsia="仿宋_GB2312" w:hAnsi="宋体"/>
                <w:szCs w:val="21"/>
              </w:rPr>
            </w:pPr>
            <w:r>
              <w:rPr>
                <w:rFonts w:ascii="仿宋_GB2312" w:eastAsia="仿宋_GB2312" w:hAnsi="宋体" w:hint="eastAsia"/>
                <w:szCs w:val="21"/>
              </w:rPr>
              <w:t>（mg/100g）</w:t>
            </w:r>
          </w:p>
        </w:tc>
        <w:tc>
          <w:tcPr>
            <w:tcW w:w="1282"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钙</w:t>
            </w:r>
          </w:p>
          <w:p w:rsidR="00B523E7" w:rsidRDefault="007F48D3">
            <w:pPr>
              <w:jc w:val="center"/>
              <w:rPr>
                <w:rFonts w:ascii="仿宋_GB2312" w:eastAsia="仿宋_GB2312" w:hAnsi="宋体"/>
                <w:szCs w:val="21"/>
              </w:rPr>
            </w:pPr>
            <w:r>
              <w:rPr>
                <w:rFonts w:ascii="仿宋_GB2312" w:eastAsia="仿宋_GB2312" w:hAnsi="宋体" w:hint="eastAsia"/>
                <w:szCs w:val="21"/>
              </w:rPr>
              <w:t>（mg/100g）</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铁</w:t>
            </w:r>
          </w:p>
          <w:p w:rsidR="00B523E7" w:rsidRDefault="007F48D3">
            <w:pPr>
              <w:jc w:val="center"/>
              <w:rPr>
                <w:rFonts w:ascii="仿宋_GB2312" w:eastAsia="仿宋_GB2312" w:hAnsi="宋体"/>
                <w:szCs w:val="21"/>
              </w:rPr>
            </w:pPr>
            <w:r>
              <w:rPr>
                <w:rFonts w:ascii="仿宋_GB2312" w:eastAsia="仿宋_GB2312" w:hAnsi="宋体" w:hint="eastAsia"/>
                <w:szCs w:val="21"/>
              </w:rPr>
              <w:t>（mg/100g）</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镁</w:t>
            </w:r>
          </w:p>
          <w:p w:rsidR="00B523E7" w:rsidRDefault="007F48D3">
            <w:pPr>
              <w:jc w:val="center"/>
              <w:rPr>
                <w:rFonts w:ascii="仿宋_GB2312" w:eastAsia="仿宋_GB2312" w:hAnsi="宋体"/>
                <w:szCs w:val="21"/>
              </w:rPr>
            </w:pPr>
            <w:r>
              <w:rPr>
                <w:rFonts w:ascii="仿宋_GB2312" w:eastAsia="仿宋_GB2312" w:hAnsi="宋体" w:hint="eastAsia"/>
                <w:szCs w:val="21"/>
              </w:rPr>
              <w:t>（mg/100g）</w:t>
            </w:r>
          </w:p>
        </w:tc>
        <w:tc>
          <w:tcPr>
            <w:tcW w:w="112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硒</w:t>
            </w:r>
          </w:p>
          <w:p w:rsidR="00B523E7" w:rsidRDefault="007F48D3">
            <w:pPr>
              <w:jc w:val="center"/>
              <w:rPr>
                <w:rFonts w:ascii="仿宋_GB2312" w:eastAsia="仿宋_GB2312" w:hAnsi="宋体"/>
                <w:szCs w:val="21"/>
              </w:rPr>
            </w:pPr>
            <w:r>
              <w:rPr>
                <w:rFonts w:ascii="仿宋_GB2312" w:eastAsia="仿宋_GB2312" w:hAnsi="宋体" w:hint="eastAsia"/>
                <w:szCs w:val="21"/>
              </w:rPr>
              <w:t>（mg/kg）</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水分</w:t>
            </w:r>
          </w:p>
          <w:p w:rsidR="00B523E7" w:rsidRDefault="007F48D3">
            <w:pPr>
              <w:jc w:val="center"/>
              <w:rPr>
                <w:rFonts w:ascii="仿宋_GB2312" w:eastAsia="仿宋_GB2312" w:hAnsi="宋体"/>
                <w:szCs w:val="21"/>
              </w:rPr>
            </w:pPr>
            <w:r>
              <w:rPr>
                <w:rFonts w:ascii="仿宋_GB2312" w:eastAsia="仿宋_GB2312" w:hAnsi="宋体" w:hint="eastAsia"/>
                <w:szCs w:val="21"/>
              </w:rPr>
              <w:t>（g/100g）</w:t>
            </w:r>
          </w:p>
        </w:tc>
      </w:tr>
      <w:tr w:rsidR="00B523E7">
        <w:trPr>
          <w:trHeight w:val="573"/>
          <w:jc w:val="center"/>
        </w:trPr>
        <w:tc>
          <w:tcPr>
            <w:tcW w:w="428"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1</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2.1</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0.86</w:t>
            </w:r>
          </w:p>
        </w:tc>
        <w:tc>
          <w:tcPr>
            <w:tcW w:w="128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2.81</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74.21</w:t>
            </w:r>
          </w:p>
        </w:tc>
        <w:tc>
          <w:tcPr>
            <w:tcW w:w="128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3.81</w:t>
            </w:r>
          </w:p>
        </w:tc>
        <w:tc>
          <w:tcPr>
            <w:tcW w:w="113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243.01</w:t>
            </w:r>
          </w:p>
        </w:tc>
        <w:tc>
          <w:tcPr>
            <w:tcW w:w="1282"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91.2</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0.74</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8.94</w:t>
            </w:r>
          </w:p>
        </w:tc>
        <w:tc>
          <w:tcPr>
            <w:tcW w:w="112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0.068(干基)</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93.01</w:t>
            </w:r>
          </w:p>
        </w:tc>
      </w:tr>
      <w:tr w:rsidR="00B523E7">
        <w:trPr>
          <w:trHeight w:val="573"/>
          <w:jc w:val="center"/>
        </w:trPr>
        <w:tc>
          <w:tcPr>
            <w:tcW w:w="428"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2.2</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0.92</w:t>
            </w:r>
          </w:p>
        </w:tc>
        <w:tc>
          <w:tcPr>
            <w:tcW w:w="128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2.86</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75.31</w:t>
            </w:r>
          </w:p>
        </w:tc>
        <w:tc>
          <w:tcPr>
            <w:tcW w:w="128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3.82</w:t>
            </w:r>
          </w:p>
        </w:tc>
        <w:tc>
          <w:tcPr>
            <w:tcW w:w="113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256.21</w:t>
            </w:r>
          </w:p>
        </w:tc>
        <w:tc>
          <w:tcPr>
            <w:tcW w:w="1282"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91.8</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0.85</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8.94</w:t>
            </w:r>
          </w:p>
        </w:tc>
        <w:tc>
          <w:tcPr>
            <w:tcW w:w="112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0.061(干基)</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92.1</w:t>
            </w:r>
          </w:p>
        </w:tc>
      </w:tr>
      <w:tr w:rsidR="00B523E7">
        <w:trPr>
          <w:trHeight w:val="573"/>
          <w:jc w:val="center"/>
        </w:trPr>
        <w:tc>
          <w:tcPr>
            <w:tcW w:w="428"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3</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2.1</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0.88</w:t>
            </w:r>
          </w:p>
        </w:tc>
        <w:tc>
          <w:tcPr>
            <w:tcW w:w="128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2.83</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72.14</w:t>
            </w:r>
          </w:p>
        </w:tc>
        <w:tc>
          <w:tcPr>
            <w:tcW w:w="128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3.87</w:t>
            </w:r>
          </w:p>
        </w:tc>
        <w:tc>
          <w:tcPr>
            <w:tcW w:w="113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251.36</w:t>
            </w:r>
          </w:p>
        </w:tc>
        <w:tc>
          <w:tcPr>
            <w:tcW w:w="1282"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91.6</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0.86</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7.53</w:t>
            </w:r>
          </w:p>
        </w:tc>
        <w:tc>
          <w:tcPr>
            <w:tcW w:w="112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0.043(干基)</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92.11</w:t>
            </w:r>
          </w:p>
        </w:tc>
      </w:tr>
      <w:tr w:rsidR="00B523E7">
        <w:trPr>
          <w:trHeight w:val="573"/>
          <w:jc w:val="center"/>
        </w:trPr>
        <w:tc>
          <w:tcPr>
            <w:tcW w:w="428"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4</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2.1</w:t>
            </w:r>
          </w:p>
        </w:tc>
        <w:tc>
          <w:tcPr>
            <w:tcW w:w="127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0.87</w:t>
            </w:r>
          </w:p>
        </w:tc>
        <w:tc>
          <w:tcPr>
            <w:tcW w:w="128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2.8</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72.32</w:t>
            </w:r>
          </w:p>
        </w:tc>
        <w:tc>
          <w:tcPr>
            <w:tcW w:w="128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3.88</w:t>
            </w:r>
          </w:p>
        </w:tc>
        <w:tc>
          <w:tcPr>
            <w:tcW w:w="1139"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254.1</w:t>
            </w:r>
          </w:p>
        </w:tc>
        <w:tc>
          <w:tcPr>
            <w:tcW w:w="1282"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91.8</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0.84</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8.18</w:t>
            </w:r>
          </w:p>
        </w:tc>
        <w:tc>
          <w:tcPr>
            <w:tcW w:w="1124"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0.068(干基)</w:t>
            </w:r>
          </w:p>
        </w:tc>
        <w:tc>
          <w:tcPr>
            <w:tcW w:w="1283" w:type="dxa"/>
            <w:vAlign w:val="center"/>
          </w:tcPr>
          <w:p w:rsidR="00B523E7" w:rsidRDefault="007F48D3">
            <w:pPr>
              <w:jc w:val="center"/>
              <w:rPr>
                <w:rFonts w:ascii="仿宋_GB2312" w:eastAsia="仿宋_GB2312" w:hAnsi="宋体"/>
                <w:szCs w:val="21"/>
              </w:rPr>
            </w:pPr>
            <w:r>
              <w:rPr>
                <w:rFonts w:ascii="仿宋_GB2312" w:eastAsia="仿宋_GB2312" w:hAnsi="宋体" w:hint="eastAsia"/>
                <w:szCs w:val="21"/>
              </w:rPr>
              <w:t>92.06</w:t>
            </w:r>
          </w:p>
        </w:tc>
      </w:tr>
    </w:tbl>
    <w:p w:rsidR="00B523E7" w:rsidRDefault="00B523E7" w:rsidP="00832F41">
      <w:pPr>
        <w:spacing w:beforeLines="50" w:afterLines="50" w:line="560" w:lineRule="exact"/>
        <w:rPr>
          <w:rFonts w:ascii="楷体" w:eastAsia="楷体" w:hAnsi="楷体"/>
          <w:b/>
          <w:sz w:val="32"/>
          <w:szCs w:val="32"/>
          <w:lang w:val="zh-CN"/>
        </w:rPr>
        <w:sectPr w:rsidR="00B523E7">
          <w:pgSz w:w="16838" w:h="11906" w:orient="landscape"/>
          <w:pgMar w:top="1474" w:right="1474" w:bottom="1474" w:left="1474" w:header="851" w:footer="992" w:gutter="0"/>
          <w:cols w:space="720"/>
          <w:docGrid w:type="lines" w:linePitch="312"/>
        </w:sectPr>
      </w:pPr>
    </w:p>
    <w:p w:rsidR="00B523E7" w:rsidRDefault="007F48D3">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w:t>
      </w:r>
      <w:r w:rsidR="002672DC">
        <w:rPr>
          <w:rFonts w:ascii="楷体" w:eastAsia="楷体" w:hAnsi="楷体" w:hint="eastAsia"/>
          <w:b/>
          <w:sz w:val="32"/>
          <w:szCs w:val="32"/>
          <w:lang w:val="zh-CN"/>
        </w:rPr>
        <w:t>六</w:t>
      </w:r>
      <w:r>
        <w:rPr>
          <w:rFonts w:ascii="楷体" w:eastAsia="楷体" w:hAnsi="楷体" w:hint="eastAsia"/>
          <w:b/>
          <w:sz w:val="32"/>
          <w:szCs w:val="32"/>
          <w:lang w:val="zh-CN"/>
        </w:rPr>
        <w:t>）安全卫生指标</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仿宋_GB2312" w:eastAsia="仿宋_GB2312" w:hAnsi="宋体" w:hint="eastAsia"/>
          <w:sz w:val="32"/>
          <w:szCs w:val="28"/>
          <w:lang w:val="zh-CN"/>
        </w:rPr>
        <w:t>参照T/GDNB 6.1—2020《粤港澳大湾区“菜篮子”平台产品质量安全指标体系  蔬菜》</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经查阅，与供港包心芥菜产品质量相关的国家标准、行业标准、地方标准和团体标准有：NY/T 1324-2015《绿色食品  芥菜类蔬菜》、DB45/T 268-2005《包心肉芥菜》、NY/T 706-2003《加工用芥菜》、NY/T 743-2020《绿色食品 绿叶类蔬菜》、DB44/T 886-2011《地理标志产品  水东芥菜》、T/GDNB 6.1—2020《粤港澳大湾区“菜篮子”平台产品质量安全指标体系  蔬菜》、SN/T 4529.2-2016《供港食品全程RFID溯源规程  第2部分：蔬菜》等。以上标准对芥菜类蔬菜、加工芥菜的外观质量和农残限量进行要求，但均未涉及包心芥菜营养指标如蛋白质、可溶性糖、钾、钙、维生素C等，无法充分体现贺州包心芥菜特色特点，故以上标准无法有效指导供港包心芥菜生产的工作。</w:t>
      </w:r>
    </w:p>
    <w:p w:rsidR="00B523E7" w:rsidRDefault="007F48D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B523E7" w:rsidRDefault="00B523E7">
      <w:pPr>
        <w:ind w:firstLineChars="200" w:firstLine="640"/>
        <w:rPr>
          <w:rFonts w:ascii="仿宋_GB2312" w:eastAsia="仿宋_GB2312" w:hAnsi="宋体"/>
          <w:sz w:val="32"/>
          <w:szCs w:val="28"/>
          <w:lang w:val="zh-CN"/>
        </w:rPr>
      </w:pPr>
    </w:p>
    <w:p w:rsidR="00B523E7" w:rsidRDefault="00B523E7">
      <w:pPr>
        <w:ind w:firstLineChars="200" w:firstLine="640"/>
        <w:rPr>
          <w:rFonts w:ascii="仿宋_GB2312" w:eastAsia="仿宋_GB2312" w:hAnsi="宋体"/>
          <w:sz w:val="32"/>
          <w:szCs w:val="28"/>
          <w:lang w:val="zh-CN"/>
        </w:rPr>
      </w:pPr>
    </w:p>
    <w:p w:rsidR="00B523E7" w:rsidRDefault="007F48D3" w:rsidP="00832F41">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八、自我承诺</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B523E7" w:rsidRDefault="00B523E7">
      <w:pPr>
        <w:rPr>
          <w:rFonts w:ascii="仿宋_GB2312" w:eastAsia="仿宋_GB2312" w:hAnsi="宋体"/>
          <w:sz w:val="28"/>
          <w:szCs w:val="32"/>
          <w:lang w:val="zh-CN"/>
        </w:rPr>
      </w:pPr>
    </w:p>
    <w:p w:rsidR="00B523E7" w:rsidRDefault="00B523E7">
      <w:pPr>
        <w:rPr>
          <w:rFonts w:ascii="仿宋_GB2312" w:eastAsia="仿宋_GB2312" w:hAnsi="宋体"/>
          <w:sz w:val="28"/>
          <w:szCs w:val="32"/>
          <w:lang w:val="zh-CN"/>
        </w:rPr>
      </w:pPr>
    </w:p>
    <w:p w:rsidR="00B523E7" w:rsidRDefault="007F48D3">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团体标准《供港包心芥菜》</w:t>
      </w:r>
    </w:p>
    <w:p w:rsidR="00B523E7" w:rsidRDefault="007F48D3">
      <w:pPr>
        <w:ind w:firstLineChars="1500" w:firstLine="480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B523E7" w:rsidRDefault="007F48D3">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2022年2月2</w:t>
      </w:r>
      <w:r w:rsidR="007A15E2">
        <w:rPr>
          <w:rFonts w:ascii="仿宋_GB2312" w:eastAsia="仿宋_GB2312" w:hAnsi="宋体" w:hint="eastAsia"/>
          <w:sz w:val="32"/>
          <w:szCs w:val="28"/>
          <w:lang w:val="zh-CN"/>
        </w:rPr>
        <w:t>5</w:t>
      </w:r>
      <w:r>
        <w:rPr>
          <w:rFonts w:ascii="仿宋_GB2312" w:eastAsia="仿宋_GB2312" w:hAnsi="宋体" w:hint="eastAsia"/>
          <w:sz w:val="32"/>
          <w:szCs w:val="28"/>
          <w:lang w:val="zh-CN"/>
        </w:rPr>
        <w:t>日</w:t>
      </w:r>
    </w:p>
    <w:sectPr w:rsidR="00B523E7" w:rsidSect="00B523E7">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B30" w:rsidRDefault="00CC2B30" w:rsidP="00B523E7">
      <w:r>
        <w:separator/>
      </w:r>
    </w:p>
  </w:endnote>
  <w:endnote w:type="continuationSeparator" w:id="0">
    <w:p w:rsidR="00CC2B30" w:rsidRDefault="00CC2B30" w:rsidP="00B523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docPartObj>
        <w:docPartGallery w:val="AutoText"/>
      </w:docPartObj>
    </w:sdtPr>
    <w:sdtContent>
      <w:p w:rsidR="00B523E7" w:rsidRDefault="002F24A1">
        <w:pPr>
          <w:pStyle w:val="af3"/>
          <w:jc w:val="center"/>
        </w:pPr>
        <w:r>
          <w:rPr>
            <w:rFonts w:ascii="宋体" w:hAnsi="宋体"/>
            <w:sz w:val="32"/>
            <w:szCs w:val="32"/>
          </w:rPr>
          <w:fldChar w:fldCharType="begin"/>
        </w:r>
        <w:r w:rsidR="007F48D3">
          <w:rPr>
            <w:rFonts w:ascii="宋体" w:hAnsi="宋体"/>
            <w:sz w:val="32"/>
            <w:szCs w:val="32"/>
          </w:rPr>
          <w:instrText xml:space="preserve"> PAGE   \* MERGEFORMAT </w:instrText>
        </w:r>
        <w:r>
          <w:rPr>
            <w:rFonts w:ascii="宋体" w:hAnsi="宋体"/>
            <w:sz w:val="32"/>
            <w:szCs w:val="32"/>
          </w:rPr>
          <w:fldChar w:fldCharType="separate"/>
        </w:r>
        <w:r w:rsidR="00832F41" w:rsidRPr="00832F41">
          <w:rPr>
            <w:rFonts w:ascii="宋体" w:hAnsi="宋体"/>
            <w:noProof/>
            <w:sz w:val="32"/>
            <w:szCs w:val="32"/>
            <w:lang w:val="zh-CN"/>
          </w:rPr>
          <w:t>16</w:t>
        </w:r>
        <w:r>
          <w:rPr>
            <w:rFonts w:ascii="宋体" w:hAnsi="宋体"/>
            <w:sz w:val="32"/>
            <w:szCs w:val="32"/>
          </w:rPr>
          <w:fldChar w:fldCharType="end"/>
        </w:r>
      </w:p>
    </w:sdtContent>
  </w:sdt>
  <w:p w:rsidR="00B523E7" w:rsidRDefault="00B523E7">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B30" w:rsidRDefault="00CC2B30" w:rsidP="00B523E7">
      <w:r>
        <w:separator/>
      </w:r>
    </w:p>
  </w:footnote>
  <w:footnote w:type="continuationSeparator" w:id="0">
    <w:p w:rsidR="00CC2B30" w:rsidRDefault="00CC2B30" w:rsidP="00B523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2030"/>
    <w:rsid w:val="00004C4A"/>
    <w:rsid w:val="00010E6E"/>
    <w:rsid w:val="0001346F"/>
    <w:rsid w:val="00013901"/>
    <w:rsid w:val="000172E1"/>
    <w:rsid w:val="00022A5F"/>
    <w:rsid w:val="00023E1B"/>
    <w:rsid w:val="000255B1"/>
    <w:rsid w:val="00031C67"/>
    <w:rsid w:val="000334BE"/>
    <w:rsid w:val="00040D2A"/>
    <w:rsid w:val="00045D6D"/>
    <w:rsid w:val="00056268"/>
    <w:rsid w:val="00057AD3"/>
    <w:rsid w:val="00072AE1"/>
    <w:rsid w:val="00075056"/>
    <w:rsid w:val="0008582A"/>
    <w:rsid w:val="00093D18"/>
    <w:rsid w:val="00094586"/>
    <w:rsid w:val="00095094"/>
    <w:rsid w:val="0009522E"/>
    <w:rsid w:val="000A029B"/>
    <w:rsid w:val="000A1420"/>
    <w:rsid w:val="000A63E7"/>
    <w:rsid w:val="000B15F9"/>
    <w:rsid w:val="000B177B"/>
    <w:rsid w:val="000B3A59"/>
    <w:rsid w:val="000C1B17"/>
    <w:rsid w:val="000C7B94"/>
    <w:rsid w:val="000D0936"/>
    <w:rsid w:val="000D2085"/>
    <w:rsid w:val="000D4AA2"/>
    <w:rsid w:val="000D5D37"/>
    <w:rsid w:val="000D7675"/>
    <w:rsid w:val="000E68F4"/>
    <w:rsid w:val="000E6DEA"/>
    <w:rsid w:val="000F124B"/>
    <w:rsid w:val="000F3C96"/>
    <w:rsid w:val="000F5CC1"/>
    <w:rsid w:val="000F77A5"/>
    <w:rsid w:val="0010044B"/>
    <w:rsid w:val="001015C7"/>
    <w:rsid w:val="00106E48"/>
    <w:rsid w:val="001074C4"/>
    <w:rsid w:val="00113C15"/>
    <w:rsid w:val="00113EE6"/>
    <w:rsid w:val="0011771D"/>
    <w:rsid w:val="00122F32"/>
    <w:rsid w:val="00123812"/>
    <w:rsid w:val="001240E5"/>
    <w:rsid w:val="00127C38"/>
    <w:rsid w:val="00144CFD"/>
    <w:rsid w:val="00151C6D"/>
    <w:rsid w:val="00152E1B"/>
    <w:rsid w:val="001670A9"/>
    <w:rsid w:val="00171BE7"/>
    <w:rsid w:val="0017654D"/>
    <w:rsid w:val="00181E1A"/>
    <w:rsid w:val="00193030"/>
    <w:rsid w:val="001A129A"/>
    <w:rsid w:val="001A2C3B"/>
    <w:rsid w:val="001A545F"/>
    <w:rsid w:val="001A5698"/>
    <w:rsid w:val="001A60A2"/>
    <w:rsid w:val="001A7A69"/>
    <w:rsid w:val="001B03C8"/>
    <w:rsid w:val="001B08A5"/>
    <w:rsid w:val="001B2606"/>
    <w:rsid w:val="001C2136"/>
    <w:rsid w:val="001C4BEF"/>
    <w:rsid w:val="001C5E03"/>
    <w:rsid w:val="001D0A9B"/>
    <w:rsid w:val="001D4EB2"/>
    <w:rsid w:val="001D6DFB"/>
    <w:rsid w:val="001E2028"/>
    <w:rsid w:val="001E3E2A"/>
    <w:rsid w:val="001E4B97"/>
    <w:rsid w:val="0020008A"/>
    <w:rsid w:val="0020032C"/>
    <w:rsid w:val="002008BD"/>
    <w:rsid w:val="002052DF"/>
    <w:rsid w:val="00205A58"/>
    <w:rsid w:val="00224C22"/>
    <w:rsid w:val="0022611B"/>
    <w:rsid w:val="002324AB"/>
    <w:rsid w:val="002362C7"/>
    <w:rsid w:val="00240DD0"/>
    <w:rsid w:val="00244076"/>
    <w:rsid w:val="002502B0"/>
    <w:rsid w:val="00255B2D"/>
    <w:rsid w:val="0025708A"/>
    <w:rsid w:val="00265259"/>
    <w:rsid w:val="002672DC"/>
    <w:rsid w:val="00270F83"/>
    <w:rsid w:val="00274817"/>
    <w:rsid w:val="002770E7"/>
    <w:rsid w:val="002A4690"/>
    <w:rsid w:val="002A58A4"/>
    <w:rsid w:val="002A7EEE"/>
    <w:rsid w:val="002B656B"/>
    <w:rsid w:val="002C0A09"/>
    <w:rsid w:val="002C18A8"/>
    <w:rsid w:val="002D55FD"/>
    <w:rsid w:val="002D6E7D"/>
    <w:rsid w:val="002D7ABE"/>
    <w:rsid w:val="002D7CF5"/>
    <w:rsid w:val="002E0329"/>
    <w:rsid w:val="002E0B18"/>
    <w:rsid w:val="002E1CF8"/>
    <w:rsid w:val="002F1363"/>
    <w:rsid w:val="002F24A1"/>
    <w:rsid w:val="00300793"/>
    <w:rsid w:val="0030543B"/>
    <w:rsid w:val="00305AE4"/>
    <w:rsid w:val="0030658C"/>
    <w:rsid w:val="00306B56"/>
    <w:rsid w:val="00310580"/>
    <w:rsid w:val="00320404"/>
    <w:rsid w:val="0032693C"/>
    <w:rsid w:val="00330A94"/>
    <w:rsid w:val="00332A60"/>
    <w:rsid w:val="00332CD2"/>
    <w:rsid w:val="0033374E"/>
    <w:rsid w:val="0033381E"/>
    <w:rsid w:val="00340AA6"/>
    <w:rsid w:val="003438F5"/>
    <w:rsid w:val="0035100C"/>
    <w:rsid w:val="00352EC8"/>
    <w:rsid w:val="00361165"/>
    <w:rsid w:val="00365C64"/>
    <w:rsid w:val="00370727"/>
    <w:rsid w:val="00370F2C"/>
    <w:rsid w:val="00371733"/>
    <w:rsid w:val="00382C1F"/>
    <w:rsid w:val="00382CF3"/>
    <w:rsid w:val="00384E7B"/>
    <w:rsid w:val="003855F8"/>
    <w:rsid w:val="00386773"/>
    <w:rsid w:val="00390E3B"/>
    <w:rsid w:val="00391216"/>
    <w:rsid w:val="003B28BF"/>
    <w:rsid w:val="003D0F27"/>
    <w:rsid w:val="003D593D"/>
    <w:rsid w:val="003E3F3F"/>
    <w:rsid w:val="003E3F52"/>
    <w:rsid w:val="003E42C1"/>
    <w:rsid w:val="003F7245"/>
    <w:rsid w:val="003F76C4"/>
    <w:rsid w:val="00403436"/>
    <w:rsid w:val="00403C1F"/>
    <w:rsid w:val="004057CB"/>
    <w:rsid w:val="004071AD"/>
    <w:rsid w:val="00411A54"/>
    <w:rsid w:val="00416771"/>
    <w:rsid w:val="0042060E"/>
    <w:rsid w:val="00423B26"/>
    <w:rsid w:val="00427AB0"/>
    <w:rsid w:val="00430FDB"/>
    <w:rsid w:val="00435696"/>
    <w:rsid w:val="004364E4"/>
    <w:rsid w:val="004427FE"/>
    <w:rsid w:val="004456FA"/>
    <w:rsid w:val="004464EA"/>
    <w:rsid w:val="00446864"/>
    <w:rsid w:val="004476EC"/>
    <w:rsid w:val="00457D76"/>
    <w:rsid w:val="00471352"/>
    <w:rsid w:val="004714EA"/>
    <w:rsid w:val="00472AF8"/>
    <w:rsid w:val="004760E7"/>
    <w:rsid w:val="00487AD3"/>
    <w:rsid w:val="00487CD5"/>
    <w:rsid w:val="0049432E"/>
    <w:rsid w:val="00495B49"/>
    <w:rsid w:val="004A085B"/>
    <w:rsid w:val="004B29BF"/>
    <w:rsid w:val="004B324B"/>
    <w:rsid w:val="004B3E07"/>
    <w:rsid w:val="004B5D8D"/>
    <w:rsid w:val="004C0F0C"/>
    <w:rsid w:val="004C37DE"/>
    <w:rsid w:val="004C3D65"/>
    <w:rsid w:val="004C423B"/>
    <w:rsid w:val="004C6640"/>
    <w:rsid w:val="004D0734"/>
    <w:rsid w:val="004E174F"/>
    <w:rsid w:val="004E2A80"/>
    <w:rsid w:val="004E542E"/>
    <w:rsid w:val="004F632C"/>
    <w:rsid w:val="004F6860"/>
    <w:rsid w:val="005005B3"/>
    <w:rsid w:val="00505174"/>
    <w:rsid w:val="00506E71"/>
    <w:rsid w:val="005334DC"/>
    <w:rsid w:val="00534C7A"/>
    <w:rsid w:val="00534E76"/>
    <w:rsid w:val="00543432"/>
    <w:rsid w:val="0055581B"/>
    <w:rsid w:val="00556950"/>
    <w:rsid w:val="0055791F"/>
    <w:rsid w:val="00563A69"/>
    <w:rsid w:val="00572FCD"/>
    <w:rsid w:val="00575CAC"/>
    <w:rsid w:val="0058057F"/>
    <w:rsid w:val="00587573"/>
    <w:rsid w:val="00590834"/>
    <w:rsid w:val="00596018"/>
    <w:rsid w:val="005A03D0"/>
    <w:rsid w:val="005A56FC"/>
    <w:rsid w:val="005B1C23"/>
    <w:rsid w:val="005B6DE2"/>
    <w:rsid w:val="005C01D0"/>
    <w:rsid w:val="005E18D3"/>
    <w:rsid w:val="005F02EE"/>
    <w:rsid w:val="00603C54"/>
    <w:rsid w:val="00605579"/>
    <w:rsid w:val="00606685"/>
    <w:rsid w:val="006255F6"/>
    <w:rsid w:val="006255FF"/>
    <w:rsid w:val="0062579B"/>
    <w:rsid w:val="00625917"/>
    <w:rsid w:val="00630EE0"/>
    <w:rsid w:val="0063304D"/>
    <w:rsid w:val="00634F18"/>
    <w:rsid w:val="0063510B"/>
    <w:rsid w:val="00643931"/>
    <w:rsid w:val="00645B65"/>
    <w:rsid w:val="006651FC"/>
    <w:rsid w:val="006750DF"/>
    <w:rsid w:val="00676728"/>
    <w:rsid w:val="006A4180"/>
    <w:rsid w:val="006A558C"/>
    <w:rsid w:val="006A6C6E"/>
    <w:rsid w:val="006B5247"/>
    <w:rsid w:val="006C2D86"/>
    <w:rsid w:val="006C5D24"/>
    <w:rsid w:val="006C6978"/>
    <w:rsid w:val="006D0ABD"/>
    <w:rsid w:val="006D2529"/>
    <w:rsid w:val="006D2A07"/>
    <w:rsid w:val="006D4CAF"/>
    <w:rsid w:val="006E0EAE"/>
    <w:rsid w:val="006E3F49"/>
    <w:rsid w:val="006E7B72"/>
    <w:rsid w:val="006E7C98"/>
    <w:rsid w:val="006F33AE"/>
    <w:rsid w:val="006F36AF"/>
    <w:rsid w:val="00711472"/>
    <w:rsid w:val="0071518B"/>
    <w:rsid w:val="00720F1A"/>
    <w:rsid w:val="007211EB"/>
    <w:rsid w:val="0072647B"/>
    <w:rsid w:val="007319B8"/>
    <w:rsid w:val="00734925"/>
    <w:rsid w:val="007464D8"/>
    <w:rsid w:val="007473CE"/>
    <w:rsid w:val="00756B7A"/>
    <w:rsid w:val="00760777"/>
    <w:rsid w:val="00761DA6"/>
    <w:rsid w:val="00764016"/>
    <w:rsid w:val="007723F1"/>
    <w:rsid w:val="0077269F"/>
    <w:rsid w:val="00773D4E"/>
    <w:rsid w:val="00782FF7"/>
    <w:rsid w:val="00785AA3"/>
    <w:rsid w:val="007A15E2"/>
    <w:rsid w:val="007A486B"/>
    <w:rsid w:val="007B2351"/>
    <w:rsid w:val="007B449B"/>
    <w:rsid w:val="007B5B15"/>
    <w:rsid w:val="007B7D2B"/>
    <w:rsid w:val="007C05E2"/>
    <w:rsid w:val="007C14D0"/>
    <w:rsid w:val="007C15A2"/>
    <w:rsid w:val="007C4BD4"/>
    <w:rsid w:val="007D4E42"/>
    <w:rsid w:val="007F37EE"/>
    <w:rsid w:val="007F48D3"/>
    <w:rsid w:val="007F5AD7"/>
    <w:rsid w:val="007F6F3A"/>
    <w:rsid w:val="007F7C5A"/>
    <w:rsid w:val="0080432C"/>
    <w:rsid w:val="008064A0"/>
    <w:rsid w:val="00812F89"/>
    <w:rsid w:val="00816C6C"/>
    <w:rsid w:val="00817D5D"/>
    <w:rsid w:val="00817EEE"/>
    <w:rsid w:val="008252D1"/>
    <w:rsid w:val="00827B75"/>
    <w:rsid w:val="00830741"/>
    <w:rsid w:val="00832F41"/>
    <w:rsid w:val="008451F4"/>
    <w:rsid w:val="00845686"/>
    <w:rsid w:val="00846662"/>
    <w:rsid w:val="00847950"/>
    <w:rsid w:val="008507CD"/>
    <w:rsid w:val="00851D4D"/>
    <w:rsid w:val="008540BE"/>
    <w:rsid w:val="00854E95"/>
    <w:rsid w:val="008668A8"/>
    <w:rsid w:val="00866934"/>
    <w:rsid w:val="0087147C"/>
    <w:rsid w:val="00877AC9"/>
    <w:rsid w:val="008816F1"/>
    <w:rsid w:val="00887FA0"/>
    <w:rsid w:val="00892C1C"/>
    <w:rsid w:val="008A137F"/>
    <w:rsid w:val="008A3597"/>
    <w:rsid w:val="008A5EFE"/>
    <w:rsid w:val="008B26B0"/>
    <w:rsid w:val="008B5643"/>
    <w:rsid w:val="008B680D"/>
    <w:rsid w:val="008B6C66"/>
    <w:rsid w:val="008B75DD"/>
    <w:rsid w:val="008C65ED"/>
    <w:rsid w:val="008C6BD8"/>
    <w:rsid w:val="008D1373"/>
    <w:rsid w:val="008D375E"/>
    <w:rsid w:val="008D4DD5"/>
    <w:rsid w:val="008D4E14"/>
    <w:rsid w:val="008E078F"/>
    <w:rsid w:val="008E2021"/>
    <w:rsid w:val="008E79C7"/>
    <w:rsid w:val="008F2DF4"/>
    <w:rsid w:val="008F2F90"/>
    <w:rsid w:val="00904023"/>
    <w:rsid w:val="00905603"/>
    <w:rsid w:val="009111EA"/>
    <w:rsid w:val="00916178"/>
    <w:rsid w:val="0092262E"/>
    <w:rsid w:val="00923F57"/>
    <w:rsid w:val="009309AA"/>
    <w:rsid w:val="009441B9"/>
    <w:rsid w:val="00946400"/>
    <w:rsid w:val="009556CA"/>
    <w:rsid w:val="00965A51"/>
    <w:rsid w:val="009671CA"/>
    <w:rsid w:val="00972FC5"/>
    <w:rsid w:val="00981956"/>
    <w:rsid w:val="00982BD5"/>
    <w:rsid w:val="00983918"/>
    <w:rsid w:val="009918CC"/>
    <w:rsid w:val="00996984"/>
    <w:rsid w:val="00996C24"/>
    <w:rsid w:val="009A385A"/>
    <w:rsid w:val="009B0913"/>
    <w:rsid w:val="009B3475"/>
    <w:rsid w:val="009B5DAD"/>
    <w:rsid w:val="009B62A8"/>
    <w:rsid w:val="009C3228"/>
    <w:rsid w:val="009C60BA"/>
    <w:rsid w:val="009C725B"/>
    <w:rsid w:val="009D23FA"/>
    <w:rsid w:val="009D266B"/>
    <w:rsid w:val="009E02E5"/>
    <w:rsid w:val="009E21D2"/>
    <w:rsid w:val="009E36D8"/>
    <w:rsid w:val="00A06C3F"/>
    <w:rsid w:val="00A135E5"/>
    <w:rsid w:val="00A15EF5"/>
    <w:rsid w:val="00A173F3"/>
    <w:rsid w:val="00A32B67"/>
    <w:rsid w:val="00A32D80"/>
    <w:rsid w:val="00A33BC3"/>
    <w:rsid w:val="00A3695A"/>
    <w:rsid w:val="00A41E57"/>
    <w:rsid w:val="00A56182"/>
    <w:rsid w:val="00A614F7"/>
    <w:rsid w:val="00A70090"/>
    <w:rsid w:val="00A72BE0"/>
    <w:rsid w:val="00A72F2B"/>
    <w:rsid w:val="00A746B4"/>
    <w:rsid w:val="00A74EE5"/>
    <w:rsid w:val="00A75C40"/>
    <w:rsid w:val="00A775A4"/>
    <w:rsid w:val="00A819DE"/>
    <w:rsid w:val="00A912E4"/>
    <w:rsid w:val="00A915FC"/>
    <w:rsid w:val="00A92404"/>
    <w:rsid w:val="00A93605"/>
    <w:rsid w:val="00A96B83"/>
    <w:rsid w:val="00A9764A"/>
    <w:rsid w:val="00AA376B"/>
    <w:rsid w:val="00AB06B2"/>
    <w:rsid w:val="00AB0D71"/>
    <w:rsid w:val="00AB2DA5"/>
    <w:rsid w:val="00AD251C"/>
    <w:rsid w:val="00AD6406"/>
    <w:rsid w:val="00AE0409"/>
    <w:rsid w:val="00AE0CC7"/>
    <w:rsid w:val="00AE6884"/>
    <w:rsid w:val="00AE7C04"/>
    <w:rsid w:val="00AF6D32"/>
    <w:rsid w:val="00B001F4"/>
    <w:rsid w:val="00B0296E"/>
    <w:rsid w:val="00B03ACD"/>
    <w:rsid w:val="00B05F1B"/>
    <w:rsid w:val="00B123DB"/>
    <w:rsid w:val="00B160C4"/>
    <w:rsid w:val="00B16697"/>
    <w:rsid w:val="00B25E2B"/>
    <w:rsid w:val="00B27F04"/>
    <w:rsid w:val="00B3000B"/>
    <w:rsid w:val="00B43123"/>
    <w:rsid w:val="00B43B12"/>
    <w:rsid w:val="00B50F53"/>
    <w:rsid w:val="00B523E7"/>
    <w:rsid w:val="00B53420"/>
    <w:rsid w:val="00B53FB2"/>
    <w:rsid w:val="00B540BC"/>
    <w:rsid w:val="00B54EC2"/>
    <w:rsid w:val="00B604A5"/>
    <w:rsid w:val="00B60862"/>
    <w:rsid w:val="00B613A1"/>
    <w:rsid w:val="00B6365B"/>
    <w:rsid w:val="00B636A3"/>
    <w:rsid w:val="00B80E71"/>
    <w:rsid w:val="00B925F3"/>
    <w:rsid w:val="00B9304F"/>
    <w:rsid w:val="00B97929"/>
    <w:rsid w:val="00BB6FF5"/>
    <w:rsid w:val="00BC171F"/>
    <w:rsid w:val="00BC4455"/>
    <w:rsid w:val="00BD10BC"/>
    <w:rsid w:val="00BD62CB"/>
    <w:rsid w:val="00BD7550"/>
    <w:rsid w:val="00BF5764"/>
    <w:rsid w:val="00C13F3F"/>
    <w:rsid w:val="00C2083A"/>
    <w:rsid w:val="00C2476C"/>
    <w:rsid w:val="00C31177"/>
    <w:rsid w:val="00C3291B"/>
    <w:rsid w:val="00C3316E"/>
    <w:rsid w:val="00C4029B"/>
    <w:rsid w:val="00C42251"/>
    <w:rsid w:val="00C468FA"/>
    <w:rsid w:val="00C512F4"/>
    <w:rsid w:val="00C53498"/>
    <w:rsid w:val="00C539D6"/>
    <w:rsid w:val="00C576EA"/>
    <w:rsid w:val="00C62B66"/>
    <w:rsid w:val="00C71A2A"/>
    <w:rsid w:val="00C729D5"/>
    <w:rsid w:val="00C74827"/>
    <w:rsid w:val="00C77D35"/>
    <w:rsid w:val="00C82402"/>
    <w:rsid w:val="00C86E93"/>
    <w:rsid w:val="00C93DB8"/>
    <w:rsid w:val="00CC2B30"/>
    <w:rsid w:val="00CC2F39"/>
    <w:rsid w:val="00CC315E"/>
    <w:rsid w:val="00CC35A5"/>
    <w:rsid w:val="00CC65FE"/>
    <w:rsid w:val="00CE0644"/>
    <w:rsid w:val="00CE4E86"/>
    <w:rsid w:val="00CF3ECE"/>
    <w:rsid w:val="00CF54C6"/>
    <w:rsid w:val="00D007BE"/>
    <w:rsid w:val="00D01493"/>
    <w:rsid w:val="00D0154F"/>
    <w:rsid w:val="00D01FCC"/>
    <w:rsid w:val="00D0439E"/>
    <w:rsid w:val="00D127DD"/>
    <w:rsid w:val="00D129C1"/>
    <w:rsid w:val="00D15EA7"/>
    <w:rsid w:val="00D16BD9"/>
    <w:rsid w:val="00D266D1"/>
    <w:rsid w:val="00D31E19"/>
    <w:rsid w:val="00D35563"/>
    <w:rsid w:val="00D41F6E"/>
    <w:rsid w:val="00D45485"/>
    <w:rsid w:val="00D52670"/>
    <w:rsid w:val="00D52D3A"/>
    <w:rsid w:val="00D56E6C"/>
    <w:rsid w:val="00D570E4"/>
    <w:rsid w:val="00D57FE2"/>
    <w:rsid w:val="00D603FD"/>
    <w:rsid w:val="00D61555"/>
    <w:rsid w:val="00D64185"/>
    <w:rsid w:val="00D6448D"/>
    <w:rsid w:val="00D6621F"/>
    <w:rsid w:val="00D732B5"/>
    <w:rsid w:val="00D74029"/>
    <w:rsid w:val="00D77F0F"/>
    <w:rsid w:val="00D91693"/>
    <w:rsid w:val="00D94810"/>
    <w:rsid w:val="00DA0E02"/>
    <w:rsid w:val="00DA36F2"/>
    <w:rsid w:val="00DC0876"/>
    <w:rsid w:val="00DC325A"/>
    <w:rsid w:val="00DD5FB5"/>
    <w:rsid w:val="00DE3986"/>
    <w:rsid w:val="00DE7CDB"/>
    <w:rsid w:val="00DF3054"/>
    <w:rsid w:val="00DF3ABD"/>
    <w:rsid w:val="00DF5055"/>
    <w:rsid w:val="00DF5A2F"/>
    <w:rsid w:val="00DF671D"/>
    <w:rsid w:val="00E01EB8"/>
    <w:rsid w:val="00E0763C"/>
    <w:rsid w:val="00E077CA"/>
    <w:rsid w:val="00E114CE"/>
    <w:rsid w:val="00E153B5"/>
    <w:rsid w:val="00E16080"/>
    <w:rsid w:val="00E16241"/>
    <w:rsid w:val="00E165A6"/>
    <w:rsid w:val="00E178FE"/>
    <w:rsid w:val="00E2048F"/>
    <w:rsid w:val="00E22B90"/>
    <w:rsid w:val="00E2587A"/>
    <w:rsid w:val="00E34012"/>
    <w:rsid w:val="00E34597"/>
    <w:rsid w:val="00E352F7"/>
    <w:rsid w:val="00E55B1A"/>
    <w:rsid w:val="00E57F20"/>
    <w:rsid w:val="00E75003"/>
    <w:rsid w:val="00E801DC"/>
    <w:rsid w:val="00E82889"/>
    <w:rsid w:val="00E84557"/>
    <w:rsid w:val="00E85B5D"/>
    <w:rsid w:val="00E93D18"/>
    <w:rsid w:val="00EB013C"/>
    <w:rsid w:val="00EB360A"/>
    <w:rsid w:val="00EB5476"/>
    <w:rsid w:val="00EB7532"/>
    <w:rsid w:val="00EC22A2"/>
    <w:rsid w:val="00EC5B56"/>
    <w:rsid w:val="00ED0847"/>
    <w:rsid w:val="00ED1D5B"/>
    <w:rsid w:val="00EE78B6"/>
    <w:rsid w:val="00EE7D57"/>
    <w:rsid w:val="00EF59C2"/>
    <w:rsid w:val="00F0301A"/>
    <w:rsid w:val="00F042E7"/>
    <w:rsid w:val="00F115C7"/>
    <w:rsid w:val="00F13400"/>
    <w:rsid w:val="00F3374D"/>
    <w:rsid w:val="00F63E73"/>
    <w:rsid w:val="00F67BB0"/>
    <w:rsid w:val="00F718EB"/>
    <w:rsid w:val="00F732E3"/>
    <w:rsid w:val="00F73D6A"/>
    <w:rsid w:val="00F755BF"/>
    <w:rsid w:val="00F77801"/>
    <w:rsid w:val="00F77D16"/>
    <w:rsid w:val="00F82011"/>
    <w:rsid w:val="00F900BE"/>
    <w:rsid w:val="00F9435B"/>
    <w:rsid w:val="00FA2720"/>
    <w:rsid w:val="00FA77B1"/>
    <w:rsid w:val="00FB0E82"/>
    <w:rsid w:val="00FB1DDD"/>
    <w:rsid w:val="00FC599D"/>
    <w:rsid w:val="00FC68A8"/>
    <w:rsid w:val="00FD19C3"/>
    <w:rsid w:val="00FD3708"/>
    <w:rsid w:val="00FD482A"/>
    <w:rsid w:val="00FE253C"/>
    <w:rsid w:val="00FF20EF"/>
    <w:rsid w:val="00FF3472"/>
    <w:rsid w:val="00FF4E10"/>
    <w:rsid w:val="00FF6348"/>
    <w:rsid w:val="00FF683B"/>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4523FA4"/>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B523E7"/>
    <w:pPr>
      <w:widowControl w:val="0"/>
      <w:jc w:val="both"/>
    </w:pPr>
    <w:rPr>
      <w:rFonts w:ascii="Times New Roman" w:hAnsi="Times New Roman"/>
      <w:kern w:val="2"/>
      <w:sz w:val="21"/>
      <w:szCs w:val="24"/>
    </w:rPr>
  </w:style>
  <w:style w:type="paragraph" w:styleId="3">
    <w:name w:val="heading 3"/>
    <w:basedOn w:val="ae"/>
    <w:next w:val="ae"/>
    <w:semiHidden/>
    <w:unhideWhenUsed/>
    <w:qFormat/>
    <w:rsid w:val="00B523E7"/>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Balloon Text"/>
    <w:basedOn w:val="ae"/>
    <w:link w:val="Char"/>
    <w:qFormat/>
    <w:rsid w:val="00B523E7"/>
    <w:rPr>
      <w:sz w:val="18"/>
      <w:szCs w:val="18"/>
    </w:rPr>
  </w:style>
  <w:style w:type="paragraph" w:styleId="af3">
    <w:name w:val="footer"/>
    <w:basedOn w:val="ae"/>
    <w:link w:val="Char0"/>
    <w:uiPriority w:val="99"/>
    <w:qFormat/>
    <w:rsid w:val="00B523E7"/>
    <w:pPr>
      <w:tabs>
        <w:tab w:val="center" w:pos="4153"/>
        <w:tab w:val="right" w:pos="8306"/>
      </w:tabs>
      <w:snapToGrid w:val="0"/>
      <w:jc w:val="left"/>
    </w:pPr>
    <w:rPr>
      <w:sz w:val="18"/>
      <w:szCs w:val="18"/>
    </w:rPr>
  </w:style>
  <w:style w:type="paragraph" w:styleId="af4">
    <w:name w:val="header"/>
    <w:basedOn w:val="ae"/>
    <w:link w:val="Char1"/>
    <w:qFormat/>
    <w:rsid w:val="00B523E7"/>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Char"/>
    <w:uiPriority w:val="99"/>
    <w:unhideWhenUsed/>
    <w:qFormat/>
    <w:rsid w:val="00B523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5">
    <w:name w:val="Table Grid"/>
    <w:basedOn w:val="af0"/>
    <w:uiPriority w:val="59"/>
    <w:qFormat/>
    <w:rsid w:val="00B523E7"/>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f"/>
    <w:qFormat/>
    <w:rsid w:val="00B523E7"/>
    <w:rPr>
      <w:b/>
    </w:rPr>
  </w:style>
  <w:style w:type="character" w:styleId="af7">
    <w:name w:val="Hyperlink"/>
    <w:basedOn w:val="af"/>
    <w:uiPriority w:val="99"/>
    <w:unhideWhenUsed/>
    <w:qFormat/>
    <w:rsid w:val="00B523E7"/>
    <w:rPr>
      <w:color w:val="0000FF"/>
      <w:u w:val="single"/>
    </w:rPr>
  </w:style>
  <w:style w:type="paragraph" w:styleId="af8">
    <w:name w:val="List Paragraph"/>
    <w:basedOn w:val="ae"/>
    <w:qFormat/>
    <w:rsid w:val="00B523E7"/>
    <w:pPr>
      <w:ind w:firstLineChars="200" w:firstLine="420"/>
    </w:pPr>
    <w:rPr>
      <w:szCs w:val="22"/>
    </w:rPr>
  </w:style>
  <w:style w:type="paragraph" w:customStyle="1" w:styleId="af9">
    <w:name w:val="标准文件_段"/>
    <w:link w:val="Char2"/>
    <w:qFormat/>
    <w:rsid w:val="00B523E7"/>
    <w:pPr>
      <w:autoSpaceDE w:val="0"/>
      <w:autoSpaceDN w:val="0"/>
      <w:ind w:firstLineChars="200" w:firstLine="200"/>
      <w:jc w:val="both"/>
    </w:pPr>
    <w:rPr>
      <w:rFonts w:ascii="宋体" w:hAnsi="Times New Roman"/>
      <w:sz w:val="21"/>
    </w:rPr>
  </w:style>
  <w:style w:type="character" w:customStyle="1" w:styleId="Char2">
    <w:name w:val="标准文件_段 Char"/>
    <w:link w:val="af9"/>
    <w:qFormat/>
    <w:rsid w:val="00B523E7"/>
    <w:rPr>
      <w:rFonts w:ascii="宋体"/>
      <w:sz w:val="21"/>
    </w:rPr>
  </w:style>
  <w:style w:type="character" w:customStyle="1" w:styleId="Char1">
    <w:name w:val="页眉 Char"/>
    <w:basedOn w:val="af"/>
    <w:link w:val="af4"/>
    <w:qFormat/>
    <w:rsid w:val="00B523E7"/>
    <w:rPr>
      <w:rFonts w:ascii="Times New Roman" w:hAnsi="Times New Roman"/>
      <w:kern w:val="2"/>
      <w:sz w:val="18"/>
      <w:szCs w:val="18"/>
    </w:rPr>
  </w:style>
  <w:style w:type="character" w:customStyle="1" w:styleId="Char0">
    <w:name w:val="页脚 Char"/>
    <w:basedOn w:val="af"/>
    <w:link w:val="af3"/>
    <w:uiPriority w:val="99"/>
    <w:qFormat/>
    <w:rsid w:val="00B523E7"/>
    <w:rPr>
      <w:rFonts w:ascii="Times New Roman" w:hAnsi="Times New Roman"/>
      <w:kern w:val="2"/>
      <w:sz w:val="18"/>
      <w:szCs w:val="18"/>
    </w:rPr>
  </w:style>
  <w:style w:type="character" w:customStyle="1" w:styleId="Char">
    <w:name w:val="批注框文本 Char"/>
    <w:basedOn w:val="af"/>
    <w:link w:val="af2"/>
    <w:qFormat/>
    <w:rsid w:val="00B523E7"/>
    <w:rPr>
      <w:rFonts w:ascii="Times New Roman" w:hAnsi="Times New Roman"/>
      <w:kern w:val="2"/>
      <w:sz w:val="18"/>
      <w:szCs w:val="18"/>
    </w:rPr>
  </w:style>
  <w:style w:type="paragraph" w:customStyle="1" w:styleId="aa">
    <w:name w:val="标准文件_二级条标题"/>
    <w:next w:val="af9"/>
    <w:qFormat/>
    <w:rsid w:val="00B523E7"/>
    <w:pPr>
      <w:widowControl w:val="0"/>
      <w:numPr>
        <w:ilvl w:val="3"/>
        <w:numId w:val="1"/>
      </w:numPr>
      <w:spacing w:beforeLines="50" w:afterLines="50"/>
      <w:jc w:val="both"/>
      <w:outlineLvl w:val="2"/>
    </w:pPr>
    <w:rPr>
      <w:rFonts w:ascii="黑体" w:eastAsia="黑体" w:hAnsi="Times New Roman"/>
      <w:sz w:val="21"/>
    </w:rPr>
  </w:style>
  <w:style w:type="paragraph" w:customStyle="1" w:styleId="ab">
    <w:name w:val="标准文件_三级条标题"/>
    <w:basedOn w:val="aa"/>
    <w:next w:val="af9"/>
    <w:qFormat/>
    <w:rsid w:val="00B523E7"/>
    <w:pPr>
      <w:widowControl/>
      <w:numPr>
        <w:ilvl w:val="4"/>
      </w:numPr>
      <w:outlineLvl w:val="3"/>
    </w:pPr>
  </w:style>
  <w:style w:type="paragraph" w:customStyle="1" w:styleId="ac">
    <w:name w:val="标准文件_四级条标题"/>
    <w:next w:val="af9"/>
    <w:qFormat/>
    <w:rsid w:val="00B523E7"/>
    <w:pPr>
      <w:widowControl w:val="0"/>
      <w:numPr>
        <w:ilvl w:val="5"/>
        <w:numId w:val="1"/>
      </w:numPr>
      <w:spacing w:beforeLines="50" w:afterLines="50"/>
      <w:jc w:val="both"/>
      <w:outlineLvl w:val="4"/>
    </w:pPr>
    <w:rPr>
      <w:rFonts w:ascii="黑体" w:eastAsia="黑体" w:hAnsi="Times New Roman"/>
      <w:sz w:val="21"/>
    </w:rPr>
  </w:style>
  <w:style w:type="paragraph" w:customStyle="1" w:styleId="ad">
    <w:name w:val="标准文件_五级条标题"/>
    <w:next w:val="af9"/>
    <w:qFormat/>
    <w:rsid w:val="00B523E7"/>
    <w:pPr>
      <w:widowControl w:val="0"/>
      <w:numPr>
        <w:ilvl w:val="6"/>
        <w:numId w:val="1"/>
      </w:numPr>
      <w:spacing w:beforeLines="50" w:afterLines="50"/>
      <w:jc w:val="both"/>
      <w:outlineLvl w:val="5"/>
    </w:pPr>
    <w:rPr>
      <w:rFonts w:ascii="黑体" w:eastAsia="黑体" w:hAnsi="Times New Roman"/>
      <w:sz w:val="21"/>
    </w:rPr>
  </w:style>
  <w:style w:type="paragraph" w:customStyle="1" w:styleId="a8">
    <w:name w:val="标准文件_章标题"/>
    <w:next w:val="af9"/>
    <w:qFormat/>
    <w:rsid w:val="00B523E7"/>
    <w:pPr>
      <w:numPr>
        <w:ilvl w:val="1"/>
        <w:numId w:val="1"/>
      </w:numPr>
      <w:spacing w:beforeLines="100" w:afterLines="100"/>
      <w:jc w:val="both"/>
      <w:outlineLvl w:val="0"/>
    </w:pPr>
    <w:rPr>
      <w:rFonts w:ascii="黑体" w:eastAsia="黑体" w:hAnsi="Times New Roman"/>
      <w:sz w:val="21"/>
    </w:rPr>
  </w:style>
  <w:style w:type="paragraph" w:customStyle="1" w:styleId="a9">
    <w:name w:val="标准文件_一级条标题"/>
    <w:basedOn w:val="a8"/>
    <w:next w:val="af9"/>
    <w:qFormat/>
    <w:rsid w:val="00B523E7"/>
    <w:pPr>
      <w:numPr>
        <w:ilvl w:val="2"/>
      </w:numPr>
      <w:spacing w:beforeLines="50" w:afterLines="50"/>
      <w:outlineLvl w:val="1"/>
    </w:pPr>
  </w:style>
  <w:style w:type="paragraph" w:customStyle="1" w:styleId="a7">
    <w:name w:val="前言标题"/>
    <w:next w:val="ae"/>
    <w:qFormat/>
    <w:rsid w:val="00B523E7"/>
    <w:pPr>
      <w:numPr>
        <w:numId w:val="1"/>
      </w:numPr>
      <w:shd w:val="clear" w:color="FFFFFF" w:fill="FFFFFF"/>
      <w:spacing w:before="540" w:after="600"/>
      <w:jc w:val="center"/>
      <w:outlineLvl w:val="0"/>
    </w:pPr>
    <w:rPr>
      <w:rFonts w:ascii="黑体" w:eastAsia="黑体" w:hAnsi="Times New Roman"/>
      <w:sz w:val="32"/>
    </w:rPr>
  </w:style>
  <w:style w:type="paragraph" w:customStyle="1" w:styleId="afa">
    <w:name w:val="标准文件_二级无标题"/>
    <w:basedOn w:val="aa"/>
    <w:qFormat/>
    <w:rsid w:val="00B523E7"/>
    <w:pPr>
      <w:spacing w:beforeLines="0" w:afterLines="0"/>
      <w:outlineLvl w:val="9"/>
    </w:pPr>
    <w:rPr>
      <w:rFonts w:ascii="宋体" w:eastAsia="宋体"/>
    </w:rPr>
  </w:style>
  <w:style w:type="character" w:customStyle="1" w:styleId="Char3">
    <w:name w:val="段 Char"/>
    <w:link w:val="afb"/>
    <w:qFormat/>
    <w:rsid w:val="00B523E7"/>
    <w:rPr>
      <w:rFonts w:ascii="宋体"/>
      <w:sz w:val="21"/>
    </w:rPr>
  </w:style>
  <w:style w:type="paragraph" w:customStyle="1" w:styleId="afb">
    <w:name w:val="段"/>
    <w:link w:val="Char3"/>
    <w:qFormat/>
    <w:rsid w:val="00B523E7"/>
    <w:pPr>
      <w:autoSpaceDE w:val="0"/>
      <w:autoSpaceDN w:val="0"/>
      <w:ind w:firstLineChars="200" w:firstLine="200"/>
      <w:jc w:val="both"/>
    </w:pPr>
    <w:rPr>
      <w:rFonts w:ascii="宋体"/>
      <w:sz w:val="21"/>
    </w:rPr>
  </w:style>
  <w:style w:type="paragraph" w:customStyle="1" w:styleId="a1">
    <w:name w:val="一级条标题"/>
    <w:next w:val="afb"/>
    <w:rsid w:val="00B523E7"/>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b"/>
    <w:qFormat/>
    <w:rsid w:val="00B523E7"/>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b"/>
    <w:qFormat/>
    <w:rsid w:val="00B523E7"/>
    <w:pPr>
      <w:numPr>
        <w:ilvl w:val="2"/>
      </w:numPr>
      <w:spacing w:before="50" w:after="50"/>
      <w:outlineLvl w:val="3"/>
    </w:pPr>
  </w:style>
  <w:style w:type="paragraph" w:customStyle="1" w:styleId="a3">
    <w:name w:val="三级条标题"/>
    <w:basedOn w:val="a2"/>
    <w:next w:val="afb"/>
    <w:rsid w:val="00B523E7"/>
    <w:pPr>
      <w:numPr>
        <w:ilvl w:val="3"/>
      </w:numPr>
      <w:outlineLvl w:val="4"/>
    </w:pPr>
  </w:style>
  <w:style w:type="paragraph" w:customStyle="1" w:styleId="a4">
    <w:name w:val="四级条标题"/>
    <w:basedOn w:val="a3"/>
    <w:next w:val="afb"/>
    <w:qFormat/>
    <w:rsid w:val="00B523E7"/>
    <w:pPr>
      <w:numPr>
        <w:ilvl w:val="4"/>
      </w:numPr>
      <w:outlineLvl w:val="5"/>
    </w:pPr>
  </w:style>
  <w:style w:type="paragraph" w:customStyle="1" w:styleId="a5">
    <w:name w:val="五级条标题"/>
    <w:basedOn w:val="a4"/>
    <w:next w:val="afb"/>
    <w:qFormat/>
    <w:rsid w:val="00B523E7"/>
    <w:pPr>
      <w:numPr>
        <w:ilvl w:val="5"/>
      </w:numPr>
      <w:outlineLvl w:val="6"/>
    </w:pPr>
  </w:style>
  <w:style w:type="paragraph" w:customStyle="1" w:styleId="a">
    <w:name w:val="标准文件_术语条一"/>
    <w:basedOn w:val="ae"/>
    <w:next w:val="af9"/>
    <w:qFormat/>
    <w:rsid w:val="00B523E7"/>
    <w:pPr>
      <w:widowControl/>
      <w:numPr>
        <w:ilvl w:val="2"/>
        <w:numId w:val="3"/>
      </w:numPr>
    </w:pPr>
    <w:rPr>
      <w:rFonts w:ascii="宋体"/>
      <w:kern w:val="0"/>
      <w:szCs w:val="20"/>
    </w:rPr>
  </w:style>
  <w:style w:type="paragraph" w:customStyle="1" w:styleId="1">
    <w:name w:val="正文1"/>
    <w:qFormat/>
    <w:rsid w:val="00B523E7"/>
    <w:pPr>
      <w:jc w:val="both"/>
    </w:pPr>
    <w:rPr>
      <w:rFonts w:ascii="Times New Roman" w:hAnsi="Times New Roman"/>
      <w:kern w:val="2"/>
      <w:sz w:val="21"/>
      <w:szCs w:val="21"/>
    </w:rPr>
  </w:style>
  <w:style w:type="character" w:customStyle="1" w:styleId="HTMLChar">
    <w:name w:val="HTML 预设格式 Char"/>
    <w:basedOn w:val="af"/>
    <w:link w:val="HTML"/>
    <w:uiPriority w:val="99"/>
    <w:rsid w:val="00B523E7"/>
    <w:rPr>
      <w:rFonts w:ascii="宋体" w:hAnsi="宋体" w:cs="宋体"/>
      <w:sz w:val="24"/>
      <w:szCs w:val="24"/>
    </w:rPr>
  </w:style>
  <w:style w:type="paragraph" w:styleId="afc">
    <w:name w:val="No Spacing"/>
    <w:uiPriority w:val="1"/>
    <w:qFormat/>
    <w:rsid w:val="00B523E7"/>
    <w:pPr>
      <w:adjustRightInd w:val="0"/>
      <w:snapToGrid w:val="0"/>
    </w:pPr>
    <w:rPr>
      <w:rFonts w:ascii="Tahoma" w:eastAsia="微软雅黑" w:hAnsi="Tahoma"/>
      <w:sz w:val="22"/>
      <w:szCs w:val="22"/>
    </w:rPr>
  </w:style>
  <w:style w:type="paragraph" w:customStyle="1" w:styleId="a6">
    <w:name w:val="标准文件_正文表标题"/>
    <w:next w:val="af9"/>
    <w:qFormat/>
    <w:rsid w:val="00B523E7"/>
    <w:pPr>
      <w:numPr>
        <w:numId w:val="4"/>
      </w:numPr>
      <w:tabs>
        <w:tab w:val="left" w:pos="0"/>
      </w:tabs>
      <w:spacing w:beforeLines="50" w:afterLines="50"/>
      <w:jc w:val="center"/>
    </w:pPr>
    <w:rPr>
      <w:rFonts w:ascii="黑体" w:eastAsia="黑体" w:hAnsi="Times New Roman"/>
      <w:sz w:val="21"/>
    </w:rPr>
  </w:style>
  <w:style w:type="paragraph" w:customStyle="1" w:styleId="afd">
    <w:name w:val="标准文件_表格"/>
    <w:basedOn w:val="af9"/>
    <w:qFormat/>
    <w:rsid w:val="00B523E7"/>
    <w:pPr>
      <w:ind w:firstLineChars="0" w:firstLine="0"/>
      <w:jc w:val="center"/>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987595-F453-4BAB-9593-E21EC9BC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16</Pages>
  <Words>1127</Words>
  <Characters>6430</Characters>
  <Application>Microsoft Office Word</Application>
  <DocSecurity>0</DocSecurity>
  <Lines>53</Lines>
  <Paragraphs>15</Paragraphs>
  <ScaleCrop>false</ScaleCrop>
  <Company/>
  <LinksUpToDate>false</LinksUpToDate>
  <CharactersWithSpaces>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448</cp:revision>
  <dcterms:created xsi:type="dcterms:W3CDTF">2020-12-08T06:37:00Z</dcterms:created>
  <dcterms:modified xsi:type="dcterms:W3CDTF">2022-02-28T06:35:00Z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E645DC6B65714AB49C9D8B0088ABAD93</vt:lpwstr>
  </property>
</Properties>
</file>